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FD" w:rsidRPr="00BD11FD" w:rsidRDefault="00BD11FD" w:rsidP="00BD11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D11FD" w:rsidRPr="00BD11FD" w:rsidRDefault="00BD11FD" w:rsidP="00BD11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0" allowOverlap="1" wp14:anchorId="6C8657DA" wp14:editId="78E547BE">
            <wp:simplePos x="0" y="0"/>
            <wp:positionH relativeFrom="column">
              <wp:posOffset>2638425</wp:posOffset>
            </wp:positionH>
            <wp:positionV relativeFrom="paragraph">
              <wp:posOffset>120015</wp:posOffset>
            </wp:positionV>
            <wp:extent cx="485775" cy="598170"/>
            <wp:effectExtent l="0" t="0" r="0" b="0"/>
            <wp:wrapSquare wrapText="left"/>
            <wp:docPr id="1" name="Рисунок 3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ДЕПУТАТОВ</w:t>
      </w: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ОКРУГА</w:t>
      </w: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28575" distB="28575" distL="29210" distR="28575" simplePos="0" relativeHeight="251659264" behindDoc="0" locked="0" layoutInCell="0" allowOverlap="1" wp14:anchorId="0EFE467A" wp14:editId="4BE272F0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29210" t="28575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520" cy="648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24B27" id="Прямая соединительная линия 2" o:spid="_x0000_s1026" style="position:absolute;z-index:251659264;visibility:visible;mso-wrap-style:square;mso-wrap-distance-left:2.3pt;mso-wrap-distance-top:2.25pt;mso-wrap-distance-right:2.25pt;mso-wrap-distance-bottom:2.25pt;mso-position-horizontal:absolute;mso-position-horizontal-relative:text;mso-position-vertical:absolute;mso-position-vertical-relative:text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" o:allowincell="f" strokeweight="4.5pt"/>
            </w:pict>
          </mc:Fallback>
        </mc:AlternateContent>
      </w:r>
    </w:p>
    <w:p w:rsidR="00BD11FD" w:rsidRPr="00BD11FD" w:rsidRDefault="00BD11FD" w:rsidP="00BD11F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D11FD" w:rsidRPr="00BD11FD" w:rsidRDefault="003D07AD" w:rsidP="00BD11F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BD11FD" w:rsidRPr="00BD1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BD11FD" w:rsidRDefault="00BD11FD" w:rsidP="00BD11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CC8" w:rsidRPr="00BD11FD" w:rsidRDefault="00595CC8" w:rsidP="00BD11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1FD" w:rsidRPr="00BD11FD" w:rsidRDefault="003D07AD" w:rsidP="00BD11F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«24</w:t>
      </w:r>
      <w:r w:rsidR="00BD11FD"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BD11FD"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BD11FD" w:rsidRPr="00BD11FD" w:rsidRDefault="00BD11FD" w:rsidP="00BD11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right="6463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right="5244"/>
        <w:jc w:val="both"/>
        <w:rPr>
          <w:rFonts w:ascii="Times New Roman" w:eastAsia="Calibri" w:hAnsi="Times New Roman" w:cs="Calibri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spacing w:val="-4"/>
          <w:sz w:val="28"/>
          <w:szCs w:val="28"/>
        </w:rPr>
        <w:t>О внесении изменений в решение Собрания депутатов Кунашакского муниципального округа Челябинской области № 89 от 11.12.2025г. «Об утверждении Положения Управления по работе с территориями Кунашакского муниципального округа Челябинской области»</w:t>
      </w:r>
    </w:p>
    <w:p w:rsidR="00BD11FD" w:rsidRPr="00BD11FD" w:rsidRDefault="00BD11FD" w:rsidP="00BD11FD">
      <w:pPr>
        <w:suppressAutoHyphens/>
        <w:spacing w:after="0" w:line="240" w:lineRule="auto"/>
        <w:ind w:right="6463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right="6463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 законом Российской Федерации </w:t>
      </w:r>
      <w:r w:rsidRPr="00BD11FD">
        <w:rPr>
          <w:rFonts w:ascii="Times New Roman" w:eastAsia="Lucida Sans Unicode" w:hAnsi="Times New Roman" w:cs="Tahoma"/>
          <w:kern w:val="2"/>
          <w:sz w:val="28"/>
          <w:szCs w:val="28"/>
          <w:lang w:eastAsia="ru-RU"/>
        </w:rPr>
        <w:t xml:space="preserve">от 20.03.2025 N 33-ФЗ "Об общих принципах организации местного самоуправления в единой системе публичной власти",  </w:t>
      </w:r>
      <w:r w:rsidRPr="00BD11FD">
        <w:rPr>
          <w:rFonts w:ascii="Times New Roman" w:eastAsia="Calibri" w:hAnsi="Times New Roman" w:cs="Calibri"/>
          <w:sz w:val="28"/>
          <w:szCs w:val="28"/>
        </w:rPr>
        <w:t xml:space="preserve">Законом Челябинской области от 19 марта 2025 года № 36-ЗО «О статусе и границах Кунашакского  муниципального округа Челябинской области», </w:t>
      </w:r>
      <w:r w:rsidRPr="00BD11FD">
        <w:rPr>
          <w:rFonts w:ascii="Times New Roman" w:eastAsia="Calibri" w:hAnsi="Times New Roman" w:cs="Times New Roman"/>
          <w:sz w:val="28"/>
          <w:szCs w:val="28"/>
        </w:rPr>
        <w:t>решением Собрания депутатов Кунашакского муниципального округа Челябинской о</w:t>
      </w:r>
      <w:r w:rsidR="00724764">
        <w:rPr>
          <w:rFonts w:ascii="Times New Roman" w:eastAsia="Calibri" w:hAnsi="Times New Roman" w:cs="Times New Roman"/>
          <w:sz w:val="28"/>
          <w:szCs w:val="28"/>
        </w:rPr>
        <w:t>бласти от 26.11.2025 года   №57</w:t>
      </w:r>
      <w:r w:rsidRPr="00BD11FD">
        <w:rPr>
          <w:rFonts w:ascii="Times New Roman" w:eastAsia="Calibri" w:hAnsi="Times New Roman" w:cs="Times New Roman"/>
          <w:sz w:val="28"/>
          <w:szCs w:val="28"/>
        </w:rPr>
        <w:t xml:space="preserve"> «Об  утверждении структуры администрации Кунашакского муниципального округа», </w:t>
      </w:r>
      <w:r w:rsidRPr="00BD11FD">
        <w:rPr>
          <w:rFonts w:ascii="Times New Roman" w:eastAsia="Lucida Sans Unicode" w:hAnsi="Times New Roman" w:cs="Calibri"/>
          <w:bCs/>
          <w:kern w:val="2"/>
          <w:sz w:val="28"/>
          <w:szCs w:val="28"/>
        </w:rPr>
        <w:t>Собрание депутатов Кунашакского  муниципального округа</w:t>
      </w:r>
      <w:r w:rsidR="009675B4">
        <w:rPr>
          <w:rFonts w:ascii="Times New Roman" w:eastAsia="Lucida Sans Unicode" w:hAnsi="Times New Roman" w:cs="Calibri"/>
          <w:bCs/>
          <w:kern w:val="2"/>
          <w:sz w:val="28"/>
          <w:szCs w:val="28"/>
        </w:rPr>
        <w:t xml:space="preserve"> Челябинской области 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BD11FD">
        <w:rPr>
          <w:rFonts w:ascii="Times New Roman" w:eastAsia="Calibri" w:hAnsi="Times New Roman" w:cs="Times New Roman"/>
          <w:b/>
          <w:sz w:val="28"/>
          <w:szCs w:val="28"/>
        </w:rPr>
        <w:t>Р Е Ш А Е Т</w:t>
      </w:r>
      <w:r w:rsidRPr="00BD11F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1FD" w:rsidRPr="00BD11FD" w:rsidRDefault="00BD11FD" w:rsidP="00BD11F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 w:rsidRPr="00BD11FD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r w:rsidRPr="00BD11FD">
        <w:rPr>
          <w:rFonts w:ascii="Times New Roman" w:eastAsia="Calibri" w:hAnsi="Times New Roman" w:cs="Times New Roman"/>
          <w:spacing w:val="-4"/>
          <w:sz w:val="28"/>
          <w:szCs w:val="28"/>
        </w:rPr>
        <w:t>внесение изменений в решение Собрания депутатов Кунашакского муниципального округа Челябинской области № 89 от 11.12.2025г. «Об утверждении Положения Управления по работе с территориями Кунашакского муниципального округа Челябинской области»</w:t>
      </w:r>
      <w:r w:rsidRPr="00BD1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1FD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BD11FD" w:rsidRPr="00BD11FD" w:rsidRDefault="00BD11FD" w:rsidP="00BD11F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 w:rsidRPr="00BD11FD">
        <w:rPr>
          <w:rFonts w:ascii="Times New Roman" w:eastAsia="Calibri" w:hAnsi="Times New Roman" w:cs="Times New Roman"/>
          <w:sz w:val="28"/>
          <w:szCs w:val="28"/>
        </w:rPr>
        <w:t xml:space="preserve">2. Контроль исполнения настоящего решения возложить на мандатную комиссию Собрания депутатов Кунашакского муниципального округа Челябинской области. </w:t>
      </w:r>
    </w:p>
    <w:p w:rsidR="000E066E" w:rsidRDefault="000E066E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со дня официального опубликованию в средствах массовой информации.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Н.В. Гусева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FD" w:rsidRPr="00BD11FD" w:rsidRDefault="00BD11FD" w:rsidP="00BD11FD">
      <w:pPr>
        <w:suppressAutoHyphens/>
        <w:spacing w:after="0" w:line="240" w:lineRule="auto"/>
        <w:ind w:left="57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решению Собрания депутатов </w:t>
      </w:r>
    </w:p>
    <w:p w:rsidR="00BD11FD" w:rsidRPr="00BD11FD" w:rsidRDefault="003D07AD" w:rsidP="00BD11FD">
      <w:pPr>
        <w:suppressAutoHyphens/>
        <w:spacing w:after="0" w:line="240" w:lineRule="auto"/>
        <w:ind w:left="57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«24</w:t>
      </w:r>
      <w:r w:rsidR="00BD11FD" w:rsidRPr="00BD11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BD11FD" w:rsidRPr="00BD11FD"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33</w:t>
      </w:r>
      <w:bookmarkStart w:id="0" w:name="_GoBack"/>
      <w:bookmarkEnd w:id="0"/>
    </w:p>
    <w:p w:rsidR="00BD11FD" w:rsidRPr="00BD11FD" w:rsidRDefault="00BD11FD" w:rsidP="00BD11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положение об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Управлении по работе с территориями </w:t>
      </w:r>
      <w:proofErr w:type="gramStart"/>
      <w:r w:rsidRPr="00BD1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 муниципального</w:t>
      </w:r>
      <w:proofErr w:type="gramEnd"/>
      <w:r w:rsidRPr="00BD1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Челябинской  области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1.1, 1.2, 1.3, 1.4 изложить в новой редакции: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компетенцию (цели, задачи, функции, права и обязанности) управления по работе с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территориями  Кунашакского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 области и определяет порядок его деятельности.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Управление по работе с территориями Кунашакского муниципального округа Челябинской  области создается в соответствии с решением Собрания депутатов Кунашакского муниципального округа Челябинской области от 26.11.2025 года №58 «Об утверждении Перечня  должностей муниципальной службы  в органах местного самоуправления Кунашакского муниципального округа» и решением Собрания депутатов Кунашакского муниципального округа Челябинской области от 26.11.2025 года №57 «Об   утверждении структуры администрации Кунашакского муниципального округа».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Учредителем Управления по работе с территориями Кунашакского муниципального округа Челябинской области является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образование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Кунашакский</w:t>
      </w:r>
      <w:proofErr w:type="spell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Челябинской  области», полномочия и функции от имени учредителя осуществляет администрация Кунашакского муниципального округа Челябинской  области (далее – Администрация). 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Управление по работе с территориями Кунашакского муниципального округа Челябинской области (далее – Территориальное  управление)  является территориальным  органом  Администрации,  осуществляющим  полномочия   исполнительно-распорядительного органа местного самоуправления Кунашакского муниципального округа Челябинской  области  по  вопросам  местного  значения, отнесенным   настоящим Положением к его  компетенции, и осуществление отдельных государственных  полномочий, переданных органам  местного   самоуправления федеральными  законами  и  законами  Челябинской  области, на территории   следующих  населенных  пунктов: </w:t>
      </w: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Акчакуль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Алифкулова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Аминева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Арыкова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село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Аширово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Баракова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Баязитова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Большая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Иркабаево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Казакбаева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Большая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Тюлякова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село Большой Куяш, деревня Борисовка,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Бурино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Голубинка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поселок Дружный, деревня Ибрагимова,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Иксанова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Каинкуль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Канзафарова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Карагайкуль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поселок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Карагайлы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Каракульмяк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Карино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Кубагушева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Кулужбаева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поселок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Кумкуль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Кунакбаева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Кунашак, поселок Кунашак-  железнодорожная станция,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Кырмыскалы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поселок Лесной, деревня Малая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Казакбаева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Малый Кунашак, деревня Малый Куяш, деревня Мансурова,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Махмутова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поселок Маяк, поселок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Маян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Мурино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Мусакаева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Муслюмово, поселок Муслюмово - железнодорожная станция, поселок Нижняя - железнодорожная станция, село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Новобурино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Новое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Курманово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Нугуманово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поселок Прибрежный, поселок Разъезд №2, поселок Разъезд №3, поселок Разъезд №5, село Сары,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Сарыкаево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Сарыкульмяк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Серкино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поселок Синарский, деревня Сосновка, 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Сулейманово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Султанаева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Султаново,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Сураково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Суртаныш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 Татарская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Караболка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Тахталым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-железнодорожная станция, поселок Трудовой, село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Урукуль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Усманово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-Багаряк, </w:t>
      </w: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село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Халитово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Чебакуль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Чекурова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поселок Элеваторный, деревня Юлдашева, деревня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Ямантаево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1.7 изложить в новой редакции: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Место нахождения Территориального управления: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456730, Российская Федерация, </w:t>
      </w:r>
      <w:proofErr w:type="gram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Челябинская  область</w:t>
      </w:r>
      <w:proofErr w:type="gram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Кунашакский</w:t>
      </w:r>
      <w:proofErr w:type="spell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муниципальный  округ, с. Кунашак, ул. Ленина, д.92.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Пункты </w:t>
      </w:r>
      <w:proofErr w:type="gram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  изложить</w:t>
      </w:r>
      <w:proofErr w:type="gram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 наименование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 управления: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по работе с </w:t>
      </w:r>
      <w:proofErr w:type="gram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территориями  Кунашакского</w:t>
      </w:r>
      <w:proofErr w:type="gram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Челябинской  области.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1.10.7, 1.10.9 изложить в новой редакции: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1.10.7. </w:t>
      </w:r>
      <w:proofErr w:type="spell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Урукульский</w:t>
      </w:r>
      <w:proofErr w:type="spell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 отдел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местонахождение по адресу: 456735, Российская Федерация, Челябинская  область, </w:t>
      </w:r>
      <w:proofErr w:type="spell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Кунашакский</w:t>
      </w:r>
      <w:proofErr w:type="spell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 округ,</w:t>
      </w:r>
      <w:r w:rsidRPr="00BD11F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поселок Дружный</w:t>
      </w: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ул. Центральная, д.7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1.10.9. </w:t>
      </w:r>
      <w:proofErr w:type="spell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Халитовский</w:t>
      </w:r>
      <w:proofErr w:type="spell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 отдел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местонахождение по адресу: 456710, Российская Федерация, Челябинская  область, </w:t>
      </w:r>
      <w:proofErr w:type="spell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Кунашакский</w:t>
      </w:r>
      <w:proofErr w:type="spell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 округ,</w:t>
      </w:r>
      <w:r w:rsidRPr="00BD11F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село </w:t>
      </w:r>
      <w:proofErr w:type="spellStart"/>
      <w:r w:rsidRPr="00BD11F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Халитово</w:t>
      </w:r>
      <w:proofErr w:type="spell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Целинная,  д. 33.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1.11 изложить в новой редакции: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Деятельность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 подразделений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регулируется нормативно-правовыми актами  Территориального  управления.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1.18 изложить в новой редакции: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1.18. Структура и штатная численность Территориального управления утверждается Главой Кунашакского муниципального округа Челябинской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по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предложению руководителя Территориального управления.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Дополнить пунктом </w:t>
      </w:r>
      <w:proofErr w:type="gram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5.3.1.:</w:t>
      </w:r>
      <w:proofErr w:type="gramEnd"/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5.3.1. Начальник территориального назначается на должность и освобождается от должности руководителем территориального управления по согласованию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с  Главой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Кунашакского муниципального округа.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Пункты 6.2, </w:t>
      </w:r>
      <w:proofErr w:type="gramStart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 изложить</w:t>
      </w:r>
      <w:proofErr w:type="gramEnd"/>
      <w:r w:rsidRPr="00BD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Руководитель Территориального управления издает приказы и распоряжения по вопросам организации работы Территориального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 в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настоящим Положением. 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издаются по следующим вопросам: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основной деятельности;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личному составу;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административно-хозяйственным вопросам.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издаются по следующим вопросам: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решения оперативных вопросов.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Руководитель </w:t>
      </w:r>
      <w:proofErr w:type="gram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 управления</w:t>
      </w:r>
      <w:proofErr w:type="gram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контроль за исполнением изданных им  приказов и распоряжений.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        Р.Г. </w:t>
      </w:r>
      <w:proofErr w:type="spellStart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  <w:r w:rsidRPr="00BD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11FD" w:rsidRPr="00BD11FD" w:rsidRDefault="00BD11FD" w:rsidP="00BD11FD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1FD" w:rsidRPr="00BD11FD" w:rsidRDefault="00BD11FD" w:rsidP="00BD11FD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6A3890" w:rsidRDefault="006A3890"/>
    <w:sectPr w:rsidR="006A3890">
      <w:pgSz w:w="11906" w:h="16838"/>
      <w:pgMar w:top="709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E2"/>
    <w:rsid w:val="000E066E"/>
    <w:rsid w:val="003D07AD"/>
    <w:rsid w:val="005676E2"/>
    <w:rsid w:val="00595CC8"/>
    <w:rsid w:val="006A3890"/>
    <w:rsid w:val="00724764"/>
    <w:rsid w:val="009675B4"/>
    <w:rsid w:val="00B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E37C-33DD-4066-B3C3-9A3D96A3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2026-03-12T10:43:00Z</cp:lastPrinted>
  <dcterms:created xsi:type="dcterms:W3CDTF">2026-03-12T05:30:00Z</dcterms:created>
  <dcterms:modified xsi:type="dcterms:W3CDTF">2026-03-25T05:56:00Z</dcterms:modified>
</cp:coreProperties>
</file>