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EBE" w:rsidRPr="00CB2906" w:rsidRDefault="00BB4EBE" w:rsidP="00BB4EBE">
      <w:pPr>
        <w:jc w:val="center"/>
        <w:rPr>
          <w:rFonts w:ascii="Times New Roman" w:hAnsi="Times New Roman" w:cs="Times New Roman"/>
          <w:sz w:val="28"/>
          <w:szCs w:val="28"/>
        </w:rPr>
      </w:pPr>
      <w:r w:rsidRPr="00CB290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EF46B1" wp14:editId="1D77E5E5">
            <wp:extent cx="866775" cy="895350"/>
            <wp:effectExtent l="0" t="0" r="9525" b="0"/>
            <wp:docPr id="1" name="Рисунок 1" descr="Описание: 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EBE" w:rsidRPr="00CB2906" w:rsidRDefault="00BB4EBE" w:rsidP="00BB4E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2906">
        <w:rPr>
          <w:rFonts w:ascii="Times New Roman" w:hAnsi="Times New Roman" w:cs="Times New Roman"/>
          <w:b/>
          <w:bCs/>
          <w:sz w:val="32"/>
          <w:szCs w:val="32"/>
        </w:rPr>
        <w:t>РОССИЙСКАЯ ФЕДЕРАЦИЯ</w:t>
      </w:r>
    </w:p>
    <w:p w:rsidR="00BB4EBE" w:rsidRPr="00CB2906" w:rsidRDefault="00BB4EBE" w:rsidP="00BB4E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2906">
        <w:rPr>
          <w:rFonts w:ascii="Times New Roman" w:hAnsi="Times New Roman" w:cs="Times New Roman"/>
          <w:b/>
          <w:bCs/>
          <w:sz w:val="32"/>
          <w:szCs w:val="32"/>
        </w:rPr>
        <w:t>ЧЕЛЯБИНСКАЯ ОБЛАСТЬ</w:t>
      </w:r>
    </w:p>
    <w:p w:rsidR="00BB4EBE" w:rsidRPr="00CB2906" w:rsidRDefault="00BB4EBE" w:rsidP="00BB4E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2906">
        <w:rPr>
          <w:rFonts w:ascii="Times New Roman" w:hAnsi="Times New Roman" w:cs="Times New Roman"/>
          <w:b/>
          <w:bCs/>
          <w:sz w:val="32"/>
          <w:szCs w:val="32"/>
        </w:rPr>
        <w:t>ГЛАВА КУНАШАКСКОГО СЕЛЬСКОГО ПОСЕЛЕНИЯ</w:t>
      </w:r>
    </w:p>
    <w:p w:rsidR="00BB4EBE" w:rsidRPr="00CB2906" w:rsidRDefault="00BB4EBE" w:rsidP="00BB4E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2906">
        <w:rPr>
          <w:rFonts w:ascii="Times New Roman" w:hAnsi="Times New Roman" w:cs="Times New Roman"/>
          <w:b/>
          <w:bCs/>
          <w:sz w:val="32"/>
          <w:szCs w:val="32"/>
        </w:rPr>
        <w:t>КУНАШАКСКОГО МУНИЦИПАЛЬНОГО РАЙОНА</w:t>
      </w:r>
    </w:p>
    <w:p w:rsidR="00BB4EBE" w:rsidRPr="00CB2906" w:rsidRDefault="00BB4EBE" w:rsidP="00BB4E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90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B4EBE" w:rsidRPr="00CB2906" w:rsidRDefault="00BB4EBE" w:rsidP="00BB4E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EBE" w:rsidRPr="00CB2906" w:rsidRDefault="00BB4EBE" w:rsidP="00BB4EBE">
      <w:pPr>
        <w:rPr>
          <w:rFonts w:ascii="Times New Roman" w:hAnsi="Times New Roman" w:cs="Times New Roman"/>
          <w:sz w:val="28"/>
          <w:szCs w:val="28"/>
        </w:rPr>
      </w:pPr>
      <w:r w:rsidRPr="00CB2906">
        <w:rPr>
          <w:rFonts w:ascii="Times New Roman" w:hAnsi="Times New Roman" w:cs="Times New Roman"/>
          <w:sz w:val="28"/>
          <w:szCs w:val="28"/>
        </w:rPr>
        <w:t xml:space="preserve">от 12.03.2021г.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BB4EBE" w:rsidRPr="00CB2906" w:rsidRDefault="00BB4EBE" w:rsidP="00BB4EBE">
      <w:pPr>
        <w:rPr>
          <w:rFonts w:ascii="Times New Roman" w:hAnsi="Times New Roman" w:cs="Times New Roman"/>
          <w:color w:val="000000"/>
          <w:sz w:val="26"/>
        </w:rPr>
      </w:pPr>
      <w:r w:rsidRPr="00CB2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EBE" w:rsidRPr="00CB2906" w:rsidRDefault="00BB4EBE" w:rsidP="00BB4EBE">
      <w:pPr>
        <w:ind w:right="4960"/>
        <w:rPr>
          <w:rFonts w:ascii="Times New Roman" w:hAnsi="Times New Roman" w:cs="Times New Roman"/>
          <w:sz w:val="24"/>
          <w:szCs w:val="24"/>
        </w:rPr>
      </w:pPr>
      <w:r w:rsidRPr="00CB2906">
        <w:rPr>
          <w:rFonts w:ascii="Times New Roman" w:hAnsi="Times New Roman" w:cs="Times New Roman"/>
          <w:sz w:val="28"/>
          <w:szCs w:val="28"/>
        </w:rPr>
        <w:t>Об утверждении порядка применения бюджетной классификации Российской Федерации в части, относящейся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906">
        <w:rPr>
          <w:rFonts w:ascii="Times New Roman" w:hAnsi="Times New Roman" w:cs="Times New Roman"/>
          <w:sz w:val="28"/>
          <w:szCs w:val="28"/>
        </w:rPr>
        <w:t xml:space="preserve">к бюджету </w:t>
      </w:r>
      <w:proofErr w:type="spellStart"/>
      <w:r w:rsidRPr="00CB2906">
        <w:rPr>
          <w:rFonts w:ascii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CB290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BB4EBE" w:rsidRPr="00CB2906" w:rsidRDefault="00BB4EBE" w:rsidP="00BB4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906">
        <w:rPr>
          <w:rFonts w:ascii="Times New Roman" w:hAnsi="Times New Roman" w:cs="Times New Roman"/>
          <w:sz w:val="28"/>
          <w:szCs w:val="28"/>
        </w:rPr>
        <w:t xml:space="preserve">В соответствии со статьей 8 и пунктом 4 статьи 21 Бюджетного кодекса Российской Федерации, пунктом 21 раздела III Порядка формирования и применения кодов бюджетной классификации Российской Федерации, их структуре и принципах назначения, утвержденного приказом Минфина России от 06.06.2019 г. № 85н, Положением о бюджетном процессе </w:t>
      </w:r>
      <w:proofErr w:type="gramStart"/>
      <w:r w:rsidRPr="00CB2906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CB2906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proofErr w:type="gramEnd"/>
      <w:r w:rsidRPr="00CB2906"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утвержденного Решением Совета депутатов </w:t>
      </w:r>
      <w:proofErr w:type="spellStart"/>
      <w:r w:rsidRPr="00CB290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B2906">
        <w:rPr>
          <w:rFonts w:ascii="Times New Roman" w:hAnsi="Times New Roman" w:cs="Times New Roman"/>
          <w:sz w:val="28"/>
          <w:szCs w:val="28"/>
        </w:rPr>
        <w:t xml:space="preserve"> сельского поселения от 23.11.2018 года № 34</w:t>
      </w:r>
    </w:p>
    <w:p w:rsidR="00BB4EBE" w:rsidRPr="00CB2906" w:rsidRDefault="00BB4EBE" w:rsidP="00BB4E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4EBE" w:rsidRPr="00CB2906" w:rsidRDefault="00BB4EBE" w:rsidP="00BB4E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B2906">
        <w:rPr>
          <w:rFonts w:ascii="Times New Roman" w:hAnsi="Times New Roman" w:cs="Times New Roman"/>
          <w:sz w:val="28"/>
          <w:szCs w:val="28"/>
        </w:rPr>
        <w:t>ПРИКАЗЫВАЮ: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906">
        <w:rPr>
          <w:rFonts w:ascii="Times New Roman" w:hAnsi="Times New Roman" w:cs="Times New Roman"/>
          <w:sz w:val="28"/>
          <w:szCs w:val="28"/>
        </w:rPr>
        <w:t xml:space="preserve">1. Утвердить порядок применения бюджетной классификации Российской Федерации в части, относящейся к бюджету </w:t>
      </w:r>
      <w:proofErr w:type="spellStart"/>
      <w:r w:rsidRPr="00CB290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B2906">
        <w:rPr>
          <w:rFonts w:ascii="Times New Roman" w:hAnsi="Times New Roman" w:cs="Times New Roman"/>
          <w:sz w:val="28"/>
          <w:szCs w:val="28"/>
        </w:rPr>
        <w:t xml:space="preserve"> сельского поселения (приложение).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906">
        <w:rPr>
          <w:rFonts w:ascii="Times New Roman" w:hAnsi="Times New Roman" w:cs="Times New Roman"/>
          <w:sz w:val="28"/>
          <w:szCs w:val="28"/>
        </w:rPr>
        <w:lastRenderedPageBreak/>
        <w:t xml:space="preserve">2. Настоящее постановление вступает в силу с 1 января 2021 года и применяется к правоотношениям, связанным с составлением и исполнением бюджета </w:t>
      </w:r>
      <w:proofErr w:type="spellStart"/>
      <w:r w:rsidRPr="00CB290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B2906">
        <w:rPr>
          <w:rFonts w:ascii="Times New Roman" w:hAnsi="Times New Roman" w:cs="Times New Roman"/>
          <w:sz w:val="28"/>
          <w:szCs w:val="28"/>
        </w:rPr>
        <w:t xml:space="preserve"> сельского поселения.  </w:t>
      </w:r>
    </w:p>
    <w:p w:rsidR="00BB4EBE" w:rsidRPr="00CB2906" w:rsidRDefault="00BB4EBE" w:rsidP="00BB4EBE">
      <w:pPr>
        <w:ind w:right="-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906">
        <w:rPr>
          <w:rFonts w:ascii="Times New Roman" w:hAnsi="Times New Roman" w:cs="Times New Roman"/>
          <w:sz w:val="28"/>
          <w:szCs w:val="28"/>
        </w:rPr>
        <w:t>3. Контроль и организацию выполнения настоящего приказа оставляю за собой.</w:t>
      </w:r>
    </w:p>
    <w:p w:rsidR="00BB4EBE" w:rsidRPr="00CB2906" w:rsidRDefault="00BB4EBE" w:rsidP="00BB4EBE">
      <w:pPr>
        <w:ind w:right="-57"/>
        <w:rPr>
          <w:rFonts w:ascii="Times New Roman" w:hAnsi="Times New Roman" w:cs="Times New Roman"/>
          <w:sz w:val="28"/>
          <w:szCs w:val="28"/>
        </w:rPr>
      </w:pPr>
    </w:p>
    <w:p w:rsidR="00BB4EBE" w:rsidRPr="00CB2906" w:rsidRDefault="00BB4EBE" w:rsidP="00BB4EBE">
      <w:pPr>
        <w:ind w:right="-57"/>
        <w:rPr>
          <w:rFonts w:ascii="Times New Roman" w:hAnsi="Times New Roman" w:cs="Times New Roman"/>
          <w:sz w:val="28"/>
          <w:szCs w:val="28"/>
        </w:rPr>
      </w:pPr>
    </w:p>
    <w:p w:rsidR="00BB4EBE" w:rsidRPr="00CB2906" w:rsidRDefault="00BB4EBE" w:rsidP="00BB4EBE">
      <w:pPr>
        <w:ind w:right="-57"/>
        <w:rPr>
          <w:rFonts w:ascii="Times New Roman" w:hAnsi="Times New Roman" w:cs="Times New Roman"/>
          <w:sz w:val="28"/>
          <w:szCs w:val="28"/>
        </w:rPr>
      </w:pPr>
    </w:p>
    <w:p w:rsidR="00BB4EBE" w:rsidRDefault="00BB4EBE" w:rsidP="00BB4EBE">
      <w:pPr>
        <w:ind w:right="-57"/>
        <w:rPr>
          <w:rFonts w:ascii="Times New Roman" w:hAnsi="Times New Roman" w:cs="Times New Roman"/>
          <w:sz w:val="28"/>
          <w:szCs w:val="28"/>
        </w:rPr>
      </w:pPr>
      <w:r w:rsidRPr="00CB290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CB290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BB4EBE" w:rsidRPr="00CB2906" w:rsidRDefault="00BB4EBE" w:rsidP="00BB4EBE">
      <w:pPr>
        <w:ind w:right="-57"/>
        <w:rPr>
          <w:rFonts w:ascii="Times New Roman" w:hAnsi="Times New Roman" w:cs="Times New Roman"/>
          <w:sz w:val="28"/>
          <w:szCs w:val="28"/>
        </w:rPr>
      </w:pPr>
      <w:r w:rsidRPr="00CB290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B290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CB2906">
        <w:rPr>
          <w:rFonts w:ascii="Times New Roman" w:hAnsi="Times New Roman" w:cs="Times New Roman"/>
          <w:sz w:val="28"/>
          <w:szCs w:val="28"/>
        </w:rPr>
        <w:t>Р.М.Нуриев</w:t>
      </w:r>
      <w:proofErr w:type="spellEnd"/>
    </w:p>
    <w:p w:rsidR="00BB4EBE" w:rsidRPr="00CB2906" w:rsidRDefault="00BB4EBE" w:rsidP="00BB4EBE">
      <w:pPr>
        <w:ind w:right="-57"/>
        <w:rPr>
          <w:rFonts w:ascii="Times New Roman" w:hAnsi="Times New Roman" w:cs="Times New Roman"/>
          <w:sz w:val="28"/>
          <w:szCs w:val="28"/>
        </w:rPr>
      </w:pPr>
    </w:p>
    <w:p w:rsidR="00BB4EBE" w:rsidRPr="00CB2906" w:rsidRDefault="00BB4EBE" w:rsidP="00BB4EBE">
      <w:pPr>
        <w:ind w:right="-57"/>
        <w:rPr>
          <w:rFonts w:ascii="Times New Roman" w:hAnsi="Times New Roman" w:cs="Times New Roman"/>
          <w:sz w:val="28"/>
          <w:szCs w:val="28"/>
        </w:rPr>
      </w:pP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  <w:r w:rsidRPr="00CB29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BB4EBE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Pr="00CB2906" w:rsidRDefault="00BB4EBE" w:rsidP="00BB4EBE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B2906">
        <w:rPr>
          <w:rFonts w:ascii="Times New Roman" w:hAnsi="Times New Roman" w:cs="Times New Roman"/>
          <w:sz w:val="24"/>
          <w:szCs w:val="24"/>
        </w:rPr>
        <w:t xml:space="preserve">              Утвержден</w:t>
      </w:r>
    </w:p>
    <w:p w:rsidR="00BB4EBE" w:rsidRPr="00CB2906" w:rsidRDefault="00BB4EBE" w:rsidP="00BB4EBE">
      <w:pPr>
        <w:rPr>
          <w:rFonts w:ascii="Times New Roman" w:hAnsi="Times New Roman" w:cs="Times New Roman"/>
          <w:sz w:val="24"/>
          <w:szCs w:val="24"/>
        </w:rPr>
      </w:pPr>
      <w:r w:rsidRPr="00CB29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Постановлением администрации   </w:t>
      </w:r>
    </w:p>
    <w:p w:rsidR="00BB4EBE" w:rsidRPr="00CB2906" w:rsidRDefault="00BB4EBE" w:rsidP="00BB4EBE">
      <w:pPr>
        <w:rPr>
          <w:rFonts w:ascii="Times New Roman" w:hAnsi="Times New Roman" w:cs="Times New Roman"/>
          <w:sz w:val="24"/>
          <w:szCs w:val="24"/>
        </w:rPr>
      </w:pPr>
      <w:r w:rsidRPr="00CB29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CB290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CB290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B4EBE" w:rsidRPr="00CB2906" w:rsidRDefault="00BB4EBE" w:rsidP="00BB4EBE">
      <w:pPr>
        <w:rPr>
          <w:rFonts w:ascii="Times New Roman" w:hAnsi="Times New Roman" w:cs="Times New Roman"/>
          <w:sz w:val="24"/>
          <w:szCs w:val="24"/>
        </w:rPr>
      </w:pPr>
      <w:r w:rsidRPr="00CB29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от 12.03.2021 г. № </w:t>
      </w:r>
      <w:r w:rsidR="00FB593F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4EBE" w:rsidRPr="00CB2906" w:rsidRDefault="00BB4EBE" w:rsidP="00BB4E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применения бюджетной классификации Российской Федерации</w:t>
      </w:r>
    </w:p>
    <w:p w:rsidR="00BB4EBE" w:rsidRPr="00CB2906" w:rsidRDefault="00BB4EBE" w:rsidP="00BB4E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части, относящейся к бюджету </w:t>
      </w:r>
      <w:proofErr w:type="spellStart"/>
      <w:r w:rsidRPr="00CB2906">
        <w:rPr>
          <w:rFonts w:ascii="Times New Roman" w:hAnsi="Times New Roman" w:cs="Times New Roman"/>
          <w:b/>
          <w:color w:val="000000"/>
          <w:sz w:val="28"/>
          <w:szCs w:val="28"/>
        </w:rPr>
        <w:t>Кунашакского</w:t>
      </w:r>
      <w:proofErr w:type="spellEnd"/>
      <w:r w:rsidRPr="00CB29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:rsidR="00BB4EBE" w:rsidRPr="00CB2906" w:rsidRDefault="00BB4EBE" w:rsidP="00BB4E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применения бюджетной классификации Российской Федерации в части, относящейся к бюджету </w:t>
      </w:r>
      <w:proofErr w:type="spellStart"/>
      <w:r w:rsidRPr="00CB290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B2906">
        <w:rPr>
          <w:rFonts w:ascii="Times New Roman" w:hAnsi="Times New Roman" w:cs="Times New Roman"/>
          <w:sz w:val="28"/>
          <w:szCs w:val="28"/>
        </w:rPr>
        <w:t xml:space="preserve"> </w:t>
      </w: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(далее - Порядок), разработан в соответствии со статьей 9 Бюджетного кодекса Российской Федерации, Положением о бюджетном процессе в </w:t>
      </w:r>
      <w:proofErr w:type="spellStart"/>
      <w:r w:rsidRPr="00CB2906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CB2906">
        <w:rPr>
          <w:rFonts w:ascii="Times New Roman" w:hAnsi="Times New Roman" w:cs="Times New Roman"/>
          <w:sz w:val="28"/>
          <w:szCs w:val="28"/>
        </w:rPr>
        <w:t xml:space="preserve"> </w:t>
      </w: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сельском поселении, утвержденного Решением Совета депутатов </w:t>
      </w:r>
      <w:proofErr w:type="spellStart"/>
      <w:r w:rsidRPr="00CB290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B2906">
        <w:rPr>
          <w:rFonts w:ascii="Times New Roman" w:hAnsi="Times New Roman" w:cs="Times New Roman"/>
          <w:sz w:val="28"/>
          <w:szCs w:val="28"/>
        </w:rPr>
        <w:t xml:space="preserve"> </w:t>
      </w:r>
      <w:r w:rsidRPr="00CB2906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от 23.11.2018года № 34 «Об утверждении</w:t>
      </w:r>
      <w:r w:rsidRPr="00CB2906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proofErr w:type="spellStart"/>
      <w:r w:rsidRPr="00CB2906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CB2906">
        <w:rPr>
          <w:rFonts w:ascii="Times New Roman" w:hAnsi="Times New Roman" w:cs="Times New Roman"/>
          <w:sz w:val="28"/>
          <w:szCs w:val="28"/>
        </w:rPr>
        <w:t xml:space="preserve"> сельском поселении»</w:t>
      </w:r>
      <w:r w:rsidRPr="00CB29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2. Порядок устанавливает единые правила формирования и применения бюджетной классификации Российской Федерации (далее - бюджетная классификация) в целях формирования, исполнения бюджета </w:t>
      </w:r>
      <w:proofErr w:type="spellStart"/>
      <w:r w:rsidRPr="00CB290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B2906">
        <w:rPr>
          <w:rFonts w:ascii="Times New Roman" w:hAnsi="Times New Roman" w:cs="Times New Roman"/>
          <w:sz w:val="28"/>
          <w:szCs w:val="28"/>
        </w:rPr>
        <w:t xml:space="preserve"> </w:t>
      </w: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(далее – бюджета) и составления бюджетной отчетности об исполнении бюджета поселения. 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3. Бюджетная классификация доходов и источников финансирования дефицита бюджета применяется в соответствии с Указаниями о порядке применения бюджетной классификации Российской Федерации, утвержденными Министерством финансов Российской Федерации.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4. Единые для бюджетов бюджетной системы Российской Федерации коды разделов (подразделов), видов расходов бюджета установлены Указаниями о порядке применения бюджетной классификации Российской </w:t>
      </w:r>
      <w:r w:rsidRPr="00CB29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Федерации, утвержденными Министерством финансов Российской Федерации.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5. Перечень разделов, подразделов, целевых статей (муниципальных программ и непрограммных направлений деятельности), групп видов расходов бюджета утверждаются в составе ведомственной структуры расходов решением о бюджете либо в установленных Бюджетным кодексом Российской Федерации случаях сводной бюджетной росписью.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6. Целевые статьи расходов бюджета обеспечивают привязку бюджетных ассигнований бюджета к муниципальным программам (непрограммным направлениям деятельности) и характеризуют направление бюджетных ассигнований на реализацию: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- муниципальных программ (непрограммных направлений деятельности);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- подпрограмм муниципальных программ (при наличии);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>- федеральных и региональных проектов;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- направлений расходов на реализацию основного мероприятия муниципальных программ.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7. Наименования целевых статей расходов </w:t>
      </w:r>
      <w:proofErr w:type="gramStart"/>
      <w:r w:rsidRPr="00CB2906">
        <w:rPr>
          <w:rFonts w:ascii="Times New Roman" w:hAnsi="Times New Roman" w:cs="Times New Roman"/>
          <w:color w:val="000000"/>
          <w:sz w:val="28"/>
          <w:szCs w:val="28"/>
        </w:rPr>
        <w:t>бюджета  устанавливаются</w:t>
      </w:r>
      <w:proofErr w:type="gramEnd"/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Финансовым управлением администрации </w:t>
      </w:r>
      <w:proofErr w:type="spellStart"/>
      <w:r w:rsidRPr="00CB2906">
        <w:rPr>
          <w:rFonts w:ascii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(далее – Финансовое управление) и характеризуют направление бюджетных ассигнований на реализацию: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- муниципальных программ (непрограммных направлений расходов);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- подпрограмм муниципальных программ (при наличии);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>- федеральных и региональных проектов;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- направлений расходов.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>8. Код целевой статьи расходов бюджета (далее – код целевой статьи расходов) состоит из десяти разрядов и включает следующие составные части:</w:t>
      </w:r>
    </w:p>
    <w:tbl>
      <w:tblPr>
        <w:tblW w:w="533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1050"/>
        <w:gridCol w:w="1992"/>
        <w:gridCol w:w="789"/>
        <w:gridCol w:w="932"/>
        <w:gridCol w:w="609"/>
        <w:gridCol w:w="609"/>
        <w:gridCol w:w="609"/>
        <w:gridCol w:w="609"/>
        <w:gridCol w:w="723"/>
        <w:gridCol w:w="1006"/>
      </w:tblGrid>
      <w:tr w:rsidR="00BB4EBE" w:rsidRPr="00CB2906" w:rsidTr="00F376DE">
        <w:trPr>
          <w:gridAfter w:val="1"/>
          <w:wAfter w:w="502" w:type="pct"/>
          <w:trHeight w:val="444"/>
        </w:trPr>
        <w:tc>
          <w:tcPr>
            <w:tcW w:w="4496" w:type="pct"/>
            <w:gridSpan w:val="10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Целевая статья расходов</w:t>
            </w:r>
          </w:p>
        </w:tc>
      </w:tr>
      <w:tr w:rsidR="00BB4EBE" w:rsidRPr="00CB2906" w:rsidTr="00F376DE">
        <w:trPr>
          <w:gridAfter w:val="1"/>
          <w:wAfter w:w="502" w:type="pct"/>
          <w:trHeight w:val="354"/>
        </w:trPr>
        <w:tc>
          <w:tcPr>
            <w:tcW w:w="2914" w:type="pct"/>
            <w:gridSpan w:val="5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Программная (непрограммная) целевая статья</w:t>
            </w:r>
          </w:p>
        </w:tc>
        <w:tc>
          <w:tcPr>
            <w:tcW w:w="1582" w:type="pct"/>
            <w:gridSpan w:val="5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Направление расходов</w:t>
            </w:r>
          </w:p>
        </w:tc>
      </w:tr>
      <w:tr w:rsidR="00BB4EBE" w:rsidRPr="00CB2906" w:rsidTr="00F376DE">
        <w:trPr>
          <w:gridAfter w:val="1"/>
          <w:wAfter w:w="502" w:type="pct"/>
          <w:trHeight w:val="1528"/>
        </w:trPr>
        <w:tc>
          <w:tcPr>
            <w:tcW w:w="1054" w:type="pct"/>
            <w:gridSpan w:val="2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lastRenderedPageBreak/>
              <w:t>Программное (непрограммное) направление расходов</w:t>
            </w:r>
          </w:p>
        </w:tc>
        <w:tc>
          <w:tcPr>
            <w:tcW w:w="998" w:type="pct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Подпрограмма муниципальной программы</w:t>
            </w:r>
          </w:p>
        </w:tc>
        <w:tc>
          <w:tcPr>
            <w:tcW w:w="862" w:type="pct"/>
            <w:gridSpan w:val="2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Основные</w:t>
            </w:r>
          </w:p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582" w:type="pct"/>
            <w:gridSpan w:val="5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4EBE" w:rsidRPr="00CB2906" w:rsidTr="00F376DE">
        <w:trPr>
          <w:gridAfter w:val="1"/>
          <w:wAfter w:w="502" w:type="pct"/>
          <w:trHeight w:val="319"/>
        </w:trPr>
        <w:tc>
          <w:tcPr>
            <w:tcW w:w="528" w:type="pct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6" w:type="pct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8" w:type="pct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5" w:type="pct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7" w:type="pct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5" w:type="pct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5" w:type="pct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5" w:type="pct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5" w:type="pct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1" w:type="pct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B4EBE" w:rsidRPr="00CB2906" w:rsidTr="00F376D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"/>
        </w:trPr>
        <w:tc>
          <w:tcPr>
            <w:tcW w:w="5000" w:type="pct"/>
            <w:gridSpan w:val="11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9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Целевым статьям бюджета присваиваются уникальные коды, сформированные с применением буквенно-цифрового ряда: 0, 1, 2, 3, 4, 5, 6, 7, 8, 9, Б, В, Г, Д, Ж, </w:t>
            </w:r>
            <w:proofErr w:type="gramStart"/>
            <w:r w:rsidRPr="00CB29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CB29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К, Л, М, Н, П, С, У, Ф, Ц, Ч, Ш, Щ, Э, Ю, Я, A, D, Е, F, G, I, J, L, N, Р, Q, R, S, Т, U, V, W, Y, Z.</w:t>
            </w:r>
          </w:p>
        </w:tc>
      </w:tr>
    </w:tbl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9. Структура кода целевой статьи расходов устанавливается с учетом положений настоящего Порядка и включает: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- код программной (непрограммной) статьи (1 – 5 разряды кода целевой статьи расходов);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- код направления расходов (6 – 10 разряды кода целевой статьи расходов).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1 и 2 разряды кода целевой статьи расходов предназначены для кодирования бюджетных ассигнований по муниципальным программам и непрограммным направлениям расходов.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3 разряд кода целевой статьи расходов предназначен для кодирования бюджетных ассигнований по подпрограммам муниципальных программ.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4 и 5 разряды кода целевой статьи расходов применяется для обеспечения расходов бюджета на реализацию федеральных и региональных проектов в соответствии с утвержденными Министерством финансов Российской Федерации кодами национальных проектов Российской Федерации и кодами федеральных проектов (независимо от источника их финансирования).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6 - 10 разряды кода целевой статьи расходов предназначены для кодирования бюджетных ассигнований по направлениям (целям) расходов, конкретизирующих отдельные мероприятия, в том числе отражающих результаты реализации задач федеральных и региональных проектов.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4 - 5 разрядов кода целевой статьи расходов для отражения расходов на реализацию федеральных и региональных проектов должно </w:t>
      </w:r>
      <w:r w:rsidRPr="00CB290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соответствовать значениям 4 - 5 разрядов кода целевой статьи расходов федерального бюджета на реализацию соответствующих федеральных проектов.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>В случае если расходы областного бюджета не связаны с реализацией национальных (региональных) проектов, 4 и 5 разряды кода целевой статьи расходов принимают нулевые значения.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>10. Увязка направлений расходов по муниципальной программе устанавливается по следующей структуре кода целевой статьи: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6595"/>
      </w:tblGrid>
      <w:tr w:rsidR="00BB4EBE" w:rsidRPr="00CB2906" w:rsidTr="00F376DE">
        <w:trPr>
          <w:trHeight w:val="545"/>
        </w:trPr>
        <w:tc>
          <w:tcPr>
            <w:tcW w:w="2802" w:type="dxa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ХХ 0 00 00000</w:t>
            </w:r>
          </w:p>
        </w:tc>
        <w:tc>
          <w:tcPr>
            <w:tcW w:w="6769" w:type="dxa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Муниципальная программа</w:t>
            </w:r>
          </w:p>
        </w:tc>
      </w:tr>
      <w:tr w:rsidR="00BB4EBE" w:rsidRPr="00CB2906" w:rsidTr="00F376DE">
        <w:trPr>
          <w:trHeight w:val="427"/>
        </w:trPr>
        <w:tc>
          <w:tcPr>
            <w:tcW w:w="2802" w:type="dxa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ХХ Х 00 00000</w:t>
            </w:r>
          </w:p>
        </w:tc>
        <w:tc>
          <w:tcPr>
            <w:tcW w:w="6769" w:type="dxa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Подпрограмма муниципальной подпрограммы (при наличии)</w:t>
            </w:r>
          </w:p>
        </w:tc>
      </w:tr>
      <w:tr w:rsidR="00BB4EBE" w:rsidRPr="00CB2906" w:rsidTr="00F376DE">
        <w:trPr>
          <w:trHeight w:val="890"/>
        </w:trPr>
        <w:tc>
          <w:tcPr>
            <w:tcW w:w="2802" w:type="dxa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ХХ Х ХХ 00000</w:t>
            </w:r>
          </w:p>
        </w:tc>
        <w:tc>
          <w:tcPr>
            <w:tcW w:w="6769" w:type="dxa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Основное мероприятие подпрограммы муниципальной программы</w:t>
            </w:r>
          </w:p>
        </w:tc>
      </w:tr>
      <w:tr w:rsidR="00BB4EBE" w:rsidRPr="00CB2906" w:rsidTr="00F376DE">
        <w:tc>
          <w:tcPr>
            <w:tcW w:w="2802" w:type="dxa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ХХ Х ХХ ХХХХХ</w:t>
            </w:r>
          </w:p>
        </w:tc>
        <w:tc>
          <w:tcPr>
            <w:tcW w:w="6769" w:type="dxa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Направление расходов</w:t>
            </w:r>
          </w:p>
        </w:tc>
      </w:tr>
    </w:tbl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>Увязка направлений расходов по непрограммным направлениям устанавливается по следующей структуре кода целевой статьи: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6598"/>
      </w:tblGrid>
      <w:tr w:rsidR="00BB4EBE" w:rsidRPr="00CB2906" w:rsidTr="00F376DE">
        <w:tc>
          <w:tcPr>
            <w:tcW w:w="2802" w:type="dxa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ХХ 0 00 00000</w:t>
            </w:r>
          </w:p>
        </w:tc>
        <w:tc>
          <w:tcPr>
            <w:tcW w:w="6769" w:type="dxa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Непрограммные направления деятельности</w:t>
            </w:r>
          </w:p>
        </w:tc>
      </w:tr>
      <w:tr w:rsidR="00BB4EBE" w:rsidRPr="00CB2906" w:rsidTr="00F376DE">
        <w:tc>
          <w:tcPr>
            <w:tcW w:w="2802" w:type="dxa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ХХ 0 00 ХХХХХ</w:t>
            </w:r>
          </w:p>
        </w:tc>
        <w:tc>
          <w:tcPr>
            <w:tcW w:w="6769" w:type="dxa"/>
          </w:tcPr>
          <w:p w:rsidR="00BB4EBE" w:rsidRPr="00CB2906" w:rsidRDefault="00BB4EBE" w:rsidP="00F376DE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2906">
              <w:rPr>
                <w:rFonts w:ascii="Times New Roman" w:hAnsi="Times New Roman" w:cs="Times New Roman"/>
                <w:color w:val="000000"/>
              </w:rPr>
              <w:t>Направление расходов</w:t>
            </w:r>
          </w:p>
        </w:tc>
      </w:tr>
    </w:tbl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11. Отражение расходов бюджета, источником финансового обеспечения которых являются субсидии, субвенции, иные межбюджетные трансферты, имеющие целевое назначение, предоставляемые из областного и федерального бюджетов, осуществляется по целевым статьям расходов бюджета, включающим в коде направления расходов 6 - 9 разряды, идентичные 6 – 9 разрядам кода направления расходов целевой статьи областного и федерального бюджетов, по которому отражаются расходы областного и федерального бюджетов на предоставление вышеуказанных межбюджетных трансфертов. 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12. Для отражения расходов бюджета  по кодам направлений расходов на реализацию федеральных и региональных проектов, для достижения результатов которых не предусмотрены межбюджетные трансферты из </w:t>
      </w:r>
      <w:r w:rsidRPr="00CB2906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федерального и областного бюджетов, Финансовое управление может установить коды направлений расходов, соответствующие кодам направлений расходов на достижение результатов федеральных и региональных проектов, установленных Порядком формирования и применения кодов бюджетной классификации Российской Федерации, утвержденным приказом Министерства финансов Российской Федерации от 8 июня 2018 года N 132н, в случае их соответствия результатам реализации задач федеральных и региональных проектов. При необходимости осуществляется детализация пятого (четвертого и пятого) разрядов указанных кодов направлений расходов.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>13. В рамках кода направления расходов предусмотрены отдельные универсальные коды направлений расходов бюджета: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   20300 - Глава муниципального образования;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   20401 -  Финансовое обеспечение выполнения функций государственными органами;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   00020 - Проведение выборов в представительные органы местного самоуправления;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   07005 - Резервные фонды местных администраций;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   09203 - Выполнение других обязательств муниципальных образований;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   24800 - Учреждение по противопожарной безопасности;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   32061 - Муниципальная целевая программа "Обеспечение пожарной безопасности на территории </w:t>
      </w:r>
      <w:proofErr w:type="spellStart"/>
      <w:r w:rsidRPr="00CB2906">
        <w:rPr>
          <w:rFonts w:ascii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2019-2021 гг.»;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  31502 - Мероприятия в области дорожного хозяйства;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  35102 - Мероприятия в области коммунального хозяйства;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  60001 – </w:t>
      </w:r>
      <w:r w:rsidRPr="00CB2906">
        <w:rPr>
          <w:rFonts w:ascii="Times New Roman" w:hAnsi="Times New Roman" w:cs="Times New Roman"/>
          <w:sz w:val="28"/>
          <w:szCs w:val="28"/>
        </w:rPr>
        <w:t>Уличное освещение;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  60005 - Прочие мероприятия по благоустройству;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  32041 - МП </w:t>
      </w:r>
      <w:proofErr w:type="spellStart"/>
      <w:r w:rsidRPr="00CB2906">
        <w:rPr>
          <w:rFonts w:ascii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proofErr w:type="gramStart"/>
      <w:r w:rsidRPr="00CB2906">
        <w:rPr>
          <w:rFonts w:ascii="Times New Roman" w:hAnsi="Times New Roman" w:cs="Times New Roman"/>
          <w:color w:val="000000"/>
          <w:sz w:val="28"/>
          <w:szCs w:val="28"/>
        </w:rPr>
        <w:t>поселения  "</w:t>
      </w:r>
      <w:proofErr w:type="gramEnd"/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безопасности движения пешеходов и транспортных средств по улицам </w:t>
      </w:r>
      <w:proofErr w:type="spellStart"/>
      <w:r w:rsidRPr="00CB2906">
        <w:rPr>
          <w:rFonts w:ascii="Times New Roman" w:hAnsi="Times New Roman" w:cs="Times New Roman"/>
          <w:color w:val="000000"/>
          <w:sz w:val="28"/>
          <w:szCs w:val="28"/>
        </w:rPr>
        <w:t>с.Кунашак</w:t>
      </w:r>
      <w:proofErr w:type="spellEnd"/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на 2020 год и плановый период 2021 и 2022 годы";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 35011 - Подпрограмма "</w:t>
      </w:r>
      <w:proofErr w:type="gramStart"/>
      <w:r w:rsidRPr="00CB2906">
        <w:rPr>
          <w:rFonts w:ascii="Times New Roman" w:hAnsi="Times New Roman" w:cs="Times New Roman"/>
          <w:color w:val="000000"/>
          <w:sz w:val="28"/>
          <w:szCs w:val="28"/>
        </w:rPr>
        <w:t>Благоустройство  внутри</w:t>
      </w:r>
      <w:proofErr w:type="gramEnd"/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дворовых  территорий  в  микрорайонах  с. Кунашак на 2021-2023 годы";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35012 - Подпрограмма "</w:t>
      </w:r>
      <w:proofErr w:type="gramStart"/>
      <w:r w:rsidRPr="00CB2906">
        <w:rPr>
          <w:rFonts w:ascii="Times New Roman" w:hAnsi="Times New Roman" w:cs="Times New Roman"/>
          <w:color w:val="000000"/>
          <w:sz w:val="28"/>
          <w:szCs w:val="28"/>
        </w:rPr>
        <w:t>Благоустройство  территории</w:t>
      </w:r>
      <w:proofErr w:type="gramEnd"/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сквера  в  центре  с. Кунашак на 2021-2023 годы";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 35013 - Подпрограмма "</w:t>
      </w:r>
      <w:proofErr w:type="gramStart"/>
      <w:r w:rsidRPr="00CB2906">
        <w:rPr>
          <w:rFonts w:ascii="Times New Roman" w:hAnsi="Times New Roman" w:cs="Times New Roman"/>
          <w:color w:val="000000"/>
          <w:sz w:val="28"/>
          <w:szCs w:val="28"/>
        </w:rPr>
        <w:t>Благоустройство  территорий</w:t>
      </w:r>
      <w:proofErr w:type="gramEnd"/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детских  площадок  с  обновлением  в  них  оборудования на 2021-2023 годы";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 38021 - МП "Энергосбережение на территории </w:t>
      </w:r>
      <w:proofErr w:type="spellStart"/>
      <w:r w:rsidRPr="00CB2906">
        <w:rPr>
          <w:rFonts w:ascii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2020 год и плановый период 2021 и 2022 годы";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49101 - Доплаты к пенсиям государственных служащих субъектов Российской Федерации и муниципальных служащих;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50587 - Оказание других видов социальной помощи;</w:t>
      </w:r>
    </w:p>
    <w:p w:rsidR="00BB4EBE" w:rsidRPr="00CB2906" w:rsidRDefault="00BB4EBE" w:rsidP="00BB4E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   36011 - МП </w:t>
      </w:r>
      <w:proofErr w:type="spellStart"/>
      <w:r w:rsidRPr="00CB2906">
        <w:rPr>
          <w:rFonts w:ascii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 w:rsidRPr="00CB290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«Развитие физической культуры, школьного и массового спорта на 2020 год и плановый период 2021 и 2022 годы".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>14. Внесение в течение финансового года изменений в наименование и (или) код целевой статьи расходов бюджета не допускается, за исключением случая, если в течение финансового года по указанной целевой статье расходов бюджета не производились кассовые расходы бюджета.</w:t>
      </w:r>
    </w:p>
    <w:p w:rsidR="00BB4EBE" w:rsidRPr="00CB2906" w:rsidRDefault="00BB4EBE" w:rsidP="00BB4E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906">
        <w:rPr>
          <w:rFonts w:ascii="Times New Roman" w:hAnsi="Times New Roman" w:cs="Times New Roman"/>
          <w:color w:val="000000"/>
          <w:sz w:val="28"/>
          <w:szCs w:val="28"/>
        </w:rPr>
        <w:t>Внесение в течение финансового года изменений в наименование целевой статьи, включающей наименование юридического лица, допускается в связи с приведением наименования юридического лица в соответствие с нормами главы 4 Гражданского кодекса Российской Федерации (в редакции Федерального закона от 5 мая 2014 года № 99-ФЗ «О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Федерации.</w:t>
      </w:r>
    </w:p>
    <w:p w:rsidR="00BB4EBE" w:rsidRPr="00CB2906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Pr="00CB2906" w:rsidRDefault="00BB4EBE" w:rsidP="00BB4EBE">
      <w:pPr>
        <w:rPr>
          <w:rFonts w:ascii="Times New Roman" w:hAnsi="Times New Roman" w:cs="Times New Roman"/>
          <w:sz w:val="24"/>
          <w:szCs w:val="24"/>
        </w:rPr>
      </w:pPr>
    </w:p>
    <w:p w:rsidR="00BB4EBE" w:rsidRPr="00CB2906" w:rsidRDefault="00BB4EBE" w:rsidP="00BB4EBE">
      <w:pPr>
        <w:tabs>
          <w:tab w:val="left" w:pos="7155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90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CB290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B2906">
        <w:rPr>
          <w:rFonts w:ascii="Times New Roman" w:hAnsi="Times New Roman" w:cs="Times New Roman"/>
          <w:sz w:val="28"/>
          <w:szCs w:val="28"/>
        </w:rPr>
        <w:t xml:space="preserve"> сельского поселения          </w:t>
      </w:r>
      <w:r w:rsidRPr="00CB290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B2906">
        <w:rPr>
          <w:rFonts w:ascii="Times New Roman" w:hAnsi="Times New Roman" w:cs="Times New Roman"/>
          <w:sz w:val="28"/>
          <w:szCs w:val="28"/>
        </w:rPr>
        <w:t>Р.М.Нуриев</w:t>
      </w:r>
      <w:proofErr w:type="spellEnd"/>
    </w:p>
    <w:p w:rsidR="00492D4D" w:rsidRDefault="00492D4D"/>
    <w:sectPr w:rsidR="004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22"/>
    <w:rsid w:val="00492D4D"/>
    <w:rsid w:val="00BB4EBE"/>
    <w:rsid w:val="00BB7A22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FE837-54BE-4269-B745-436601A4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EBE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2022-02-04T06:38:00Z</dcterms:created>
  <dcterms:modified xsi:type="dcterms:W3CDTF">2022-02-04T10:52:00Z</dcterms:modified>
</cp:coreProperties>
</file>