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F70A401" wp14:editId="4F50BCD0">
            <wp:extent cx="457200" cy="57658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</w:rPr>
        <w:t>РОССИЙСКАЯ ФЕДЕРАЦИЯ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</w:rPr>
        <w:t>ЧЕЛЯБИНСКАЯ ОБЛАСТЬ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4D66">
        <w:rPr>
          <w:rFonts w:ascii="Times New Roman" w:hAnsi="Times New Roman" w:cs="Times New Roman"/>
          <w:b/>
        </w:rPr>
        <w:t>КУНАШАКСКИЙ МУНИЦИПАЛЬНЫЙ РАЙОН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D4D66">
        <w:rPr>
          <w:rFonts w:ascii="Times New Roman" w:hAnsi="Times New Roman" w:cs="Times New Roman"/>
          <w:b/>
          <w:u w:val="single"/>
        </w:rPr>
        <w:t>АДМИНИСТРАЦИЯ БУРИНСКОГО СЕЛЬСКОГО ПОСЕЛЕНИЯ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BD4D66">
        <w:rPr>
          <w:rFonts w:ascii="Times New Roman" w:hAnsi="Times New Roman" w:cs="Times New Roman"/>
          <w:i/>
          <w:szCs w:val="28"/>
        </w:rPr>
        <w:t>456712, Челябинская область Кунашакский район с. Новобурино</w:t>
      </w: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BD4D66">
        <w:rPr>
          <w:rFonts w:ascii="Times New Roman" w:hAnsi="Times New Roman" w:cs="Times New Roman"/>
          <w:i/>
          <w:szCs w:val="28"/>
        </w:rPr>
        <w:t>ул. Центральная, 1б, тел./факс: (35148)72-4-87</w:t>
      </w:r>
    </w:p>
    <w:p w:rsidR="00BD4D66" w:rsidRPr="00BD4D66" w:rsidRDefault="00BD4D66" w:rsidP="00BD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D66" w:rsidRPr="00BD4D66" w:rsidRDefault="00BD4D66" w:rsidP="00BD4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D6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D4D66" w:rsidRPr="00BD4D66" w:rsidRDefault="00BD4D66" w:rsidP="00BD4D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от</w:t>
      </w:r>
      <w:proofErr w:type="gramStart"/>
      <w:r w:rsidRPr="00BD4D66">
        <w:rPr>
          <w:rFonts w:ascii="Times New Roman" w:hAnsi="Times New Roman" w:cs="Times New Roman"/>
        </w:rPr>
        <w:t xml:space="preserve"> </w:t>
      </w:r>
      <w:r w:rsidR="00AF1544">
        <w:rPr>
          <w:rFonts w:ascii="Times New Roman" w:hAnsi="Times New Roman" w:cs="Times New Roman"/>
        </w:rPr>
        <w:t>.</w:t>
      </w:r>
      <w:r w:rsidRPr="00BD4D66">
        <w:rPr>
          <w:rFonts w:ascii="Times New Roman" w:hAnsi="Times New Roman" w:cs="Times New Roman"/>
        </w:rPr>
        <w:t>.</w:t>
      </w:r>
      <w:proofErr w:type="gramEnd"/>
      <w:r w:rsidRPr="00BD4D66">
        <w:rPr>
          <w:rFonts w:ascii="Times New Roman" w:hAnsi="Times New Roman" w:cs="Times New Roman"/>
        </w:rPr>
        <w:t>202</w:t>
      </w:r>
      <w:r w:rsidR="00AF1544">
        <w:rPr>
          <w:rFonts w:ascii="Times New Roman" w:hAnsi="Times New Roman" w:cs="Times New Roman"/>
        </w:rPr>
        <w:t xml:space="preserve">3 г.  № 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BD4D66" w:rsidRPr="00BD4D66" w:rsidTr="00243821">
        <w:trPr>
          <w:trHeight w:val="2678"/>
        </w:trPr>
        <w:tc>
          <w:tcPr>
            <w:tcW w:w="5964" w:type="dxa"/>
            <w:shd w:val="clear" w:color="auto" w:fill="auto"/>
          </w:tcPr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 xml:space="preserve">Об утверждении </w:t>
            </w:r>
            <w:proofErr w:type="gramStart"/>
            <w:r w:rsidRPr="00BD4D66">
              <w:rPr>
                <w:rFonts w:ascii="Times New Roman" w:hAnsi="Times New Roman" w:cs="Times New Roman"/>
              </w:rPr>
              <w:t>Программы  профилактики</w:t>
            </w:r>
            <w:proofErr w:type="gramEnd"/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нарушений обязательных требований,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требований, установленных муниципальными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 xml:space="preserve">правовыми </w:t>
            </w:r>
            <w:proofErr w:type="gramStart"/>
            <w:r w:rsidRPr="00BD4D66">
              <w:rPr>
                <w:rFonts w:ascii="Times New Roman" w:hAnsi="Times New Roman" w:cs="Times New Roman"/>
              </w:rPr>
              <w:t>актами  при</w:t>
            </w:r>
            <w:proofErr w:type="gramEnd"/>
            <w:r w:rsidRPr="00BD4D66">
              <w:rPr>
                <w:rFonts w:ascii="Times New Roman" w:hAnsi="Times New Roman" w:cs="Times New Roman"/>
              </w:rPr>
              <w:t xml:space="preserve"> организации 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осуществлении муниципального контроля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в сфере благоустройства территории</w:t>
            </w:r>
          </w:p>
          <w:p w:rsidR="00BD4D66" w:rsidRPr="00BD4D66" w:rsidRDefault="00BD4D66" w:rsidP="00BD4D6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Буринск</w:t>
            </w:r>
            <w:r w:rsidR="00AF1544">
              <w:rPr>
                <w:rFonts w:ascii="Times New Roman" w:hAnsi="Times New Roman" w:cs="Times New Roman"/>
              </w:rPr>
              <w:t xml:space="preserve">ого сельского </w:t>
            </w:r>
            <w:proofErr w:type="gramStart"/>
            <w:r w:rsidR="00AF1544">
              <w:rPr>
                <w:rFonts w:ascii="Times New Roman" w:hAnsi="Times New Roman" w:cs="Times New Roman"/>
              </w:rPr>
              <w:t>поселения  на</w:t>
            </w:r>
            <w:proofErr w:type="gramEnd"/>
            <w:r w:rsidR="00AF1544">
              <w:rPr>
                <w:rFonts w:ascii="Times New Roman" w:hAnsi="Times New Roman" w:cs="Times New Roman"/>
              </w:rPr>
              <w:t xml:space="preserve"> 2024</w:t>
            </w:r>
            <w:r w:rsidRPr="00BD4D66">
              <w:rPr>
                <w:rFonts w:ascii="Times New Roman" w:hAnsi="Times New Roman" w:cs="Times New Roman"/>
              </w:rPr>
              <w:t xml:space="preserve"> год</w:t>
            </w:r>
          </w:p>
          <w:p w:rsidR="00BD4D66" w:rsidRPr="00BD4D66" w:rsidRDefault="00BD4D66" w:rsidP="00AF15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BD4D66">
              <w:rPr>
                <w:rFonts w:ascii="Times New Roman" w:hAnsi="Times New Roman" w:cs="Times New Roman"/>
              </w:rPr>
              <w:t>и на плановый период 202</w:t>
            </w:r>
            <w:r w:rsidR="00AF1544">
              <w:rPr>
                <w:rFonts w:ascii="Times New Roman" w:hAnsi="Times New Roman" w:cs="Times New Roman"/>
              </w:rPr>
              <w:t>5</w:t>
            </w:r>
            <w:r w:rsidRPr="00BD4D66">
              <w:rPr>
                <w:rFonts w:ascii="Times New Roman" w:hAnsi="Times New Roman" w:cs="Times New Roman"/>
              </w:rPr>
              <w:t xml:space="preserve"> годы</w:t>
            </w:r>
          </w:p>
        </w:tc>
      </w:tr>
    </w:tbl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8" w:history="1">
        <w:r w:rsidRPr="00BD4D66">
          <w:rPr>
            <w:rStyle w:val="a5"/>
            <w:rFonts w:ascii="Times New Roman" w:hAnsi="Times New Roman" w:cs="Times New Roman"/>
          </w:rPr>
          <w:t>закон</w:t>
        </w:r>
      </w:hyperlink>
      <w:r w:rsidRPr="00BD4D66">
        <w:rPr>
          <w:rFonts w:ascii="Times New Roman" w:hAnsi="Times New Roman" w:cs="Times New Roman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Буринского сельского поселения, администрация Буринского сельского поселения 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Постановляет: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1. Утвердить и принять к исполнению Программу профилактики нарушений обязательных требований, требований, установленных муниципальными правовыми актами в сфере благоустройства территории Буринского сельского поселения на 202</w:t>
      </w:r>
      <w:r w:rsidR="00AF1544">
        <w:rPr>
          <w:rFonts w:ascii="Times New Roman" w:hAnsi="Times New Roman" w:cs="Times New Roman"/>
        </w:rPr>
        <w:t>4 год и на плановый период 2025</w:t>
      </w:r>
      <w:r w:rsidRPr="00BD4D66">
        <w:rPr>
          <w:rFonts w:ascii="Times New Roman" w:hAnsi="Times New Roman" w:cs="Times New Roman"/>
        </w:rPr>
        <w:t xml:space="preserve"> годы, согласно приложению.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2. Разместить настоящее постановление на официальном сайте    администрации Буринского сельского поселения в информационно-телекоммуникационной сети «Интернет».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>3. Контроль за выполнением настоящего постановления оставляю за собой.</w:t>
      </w:r>
    </w:p>
    <w:p w:rsidR="00BD4D66" w:rsidRPr="00BD4D66" w:rsidRDefault="00BD4D66" w:rsidP="00BD4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D4D66" w:rsidRPr="00BD4D66" w:rsidRDefault="00BD4D66" w:rsidP="00BD4D6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BD4D66" w:rsidRPr="00BD4D66" w:rsidRDefault="00BD4D66" w:rsidP="00BD4D6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BD4D66" w:rsidRPr="00BD4D66" w:rsidRDefault="00BD4D66" w:rsidP="00BD4D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4D66">
        <w:rPr>
          <w:rFonts w:ascii="Times New Roman" w:hAnsi="Times New Roman" w:cs="Times New Roman"/>
        </w:rPr>
        <w:t xml:space="preserve">Глава Буринского сельского поселения                                                     </w:t>
      </w:r>
      <w:r w:rsidR="00AF1544">
        <w:rPr>
          <w:rFonts w:ascii="Times New Roman" w:hAnsi="Times New Roman" w:cs="Times New Roman"/>
        </w:rPr>
        <w:t>Г. В. Хидиятуллина</w:t>
      </w: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BD4D66" w:rsidRDefault="00BD4D66" w:rsidP="00DC1B92">
      <w:pPr>
        <w:pStyle w:val="Default"/>
        <w:jc w:val="right"/>
      </w:pPr>
    </w:p>
    <w:p w:rsidR="00E1754C" w:rsidRPr="00DC1B92" w:rsidRDefault="00E1754C" w:rsidP="00DC1B92">
      <w:pPr>
        <w:pStyle w:val="Default"/>
        <w:jc w:val="right"/>
      </w:pPr>
      <w:r w:rsidRPr="00DC1B92">
        <w:lastRenderedPageBreak/>
        <w:t>Утверждена</w:t>
      </w:r>
    </w:p>
    <w:p w:rsidR="00E1754C" w:rsidRDefault="00BD4D66" w:rsidP="00DC1B92">
      <w:pPr>
        <w:pStyle w:val="Default"/>
        <w:jc w:val="right"/>
      </w:pPr>
      <w:r>
        <w:t>Постановлением Главы администрации</w:t>
      </w:r>
    </w:p>
    <w:p w:rsidR="00BD4D66" w:rsidRDefault="00BD4D66" w:rsidP="00DC1B92">
      <w:pPr>
        <w:pStyle w:val="Default"/>
        <w:jc w:val="right"/>
      </w:pPr>
      <w:r>
        <w:t>Буринского сельского поселения</w:t>
      </w:r>
    </w:p>
    <w:p w:rsidR="00BD4D66" w:rsidRDefault="00BD4D66" w:rsidP="00DC1B92">
      <w:pPr>
        <w:pStyle w:val="Default"/>
        <w:jc w:val="right"/>
      </w:pPr>
      <w:r>
        <w:t>Кунашакского муниципального района</w:t>
      </w:r>
    </w:p>
    <w:p w:rsidR="00BD4D66" w:rsidRPr="00E237AC" w:rsidRDefault="00BD4D66" w:rsidP="00DC1B92">
      <w:pPr>
        <w:pStyle w:val="Default"/>
        <w:jc w:val="right"/>
        <w:rPr>
          <w:sz w:val="16"/>
        </w:rPr>
      </w:pPr>
      <w:r>
        <w:t>Челябинской области</w:t>
      </w:r>
    </w:p>
    <w:p w:rsidR="00E1754C" w:rsidRPr="00DC1B92" w:rsidRDefault="00E1754C" w:rsidP="00DC1B92">
      <w:pPr>
        <w:pStyle w:val="Default"/>
        <w:jc w:val="right"/>
      </w:pPr>
      <w:r w:rsidRPr="00DC1B92">
        <w:t xml:space="preserve">от </w:t>
      </w:r>
      <w:proofErr w:type="gramStart"/>
      <w:r w:rsidRPr="00DC1B92">
        <w:t xml:space="preserve">«» </w:t>
      </w:r>
      <w:r w:rsidR="00E237AC">
        <w:t xml:space="preserve"> 202</w:t>
      </w:r>
      <w:r w:rsidR="00AF1544">
        <w:t>3</w:t>
      </w:r>
      <w:proofErr w:type="gramEnd"/>
      <w:r w:rsidR="00E237AC">
        <w:t xml:space="preserve"> </w:t>
      </w:r>
      <w:r w:rsidRPr="00DC1B92">
        <w:t>г</w:t>
      </w:r>
      <w:r w:rsidR="00E237AC">
        <w:t>ода</w:t>
      </w:r>
      <w:r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</w:p>
    <w:p w:rsidR="008C425B" w:rsidRPr="00D042B7" w:rsidRDefault="008C425B" w:rsidP="00BD4D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AF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Буринского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</w:t>
      </w:r>
      <w:r w:rsidR="00AF15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7124"/>
      </w:tblGrid>
      <w:tr w:rsidR="00744078" w:rsidRPr="00DC1B92" w:rsidTr="00BD4D66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124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</w:t>
            </w:r>
            <w:r w:rsidR="00AF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на 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44078" w:rsidRPr="00DC1B92" w:rsidTr="00BD4D66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7124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BD4D66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Буринского сельского поселения Кунашакского муниципального района</w:t>
            </w:r>
          </w:p>
        </w:tc>
      </w:tr>
      <w:tr w:rsidR="004D21BB" w:rsidRPr="00DC1B92" w:rsidTr="00BD4D66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4D21BB" w:rsidRPr="00DC1B92" w:rsidRDefault="00AF1544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D21BB" w:rsidRPr="00DC1B92" w:rsidTr="00BD4D66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BD4D66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124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Буринского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812B4A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proofErr w:type="gramStart"/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Уставом Буринского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Буринского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BD4D66">
        <w:rPr>
          <w:rFonts w:ascii="Times New Roman" w:hAnsi="Times New Roman" w:cs="Times New Roman"/>
          <w:sz w:val="24"/>
          <w:szCs w:val="24"/>
        </w:rPr>
        <w:t>15</w:t>
      </w:r>
      <w:r w:rsidRPr="00DC1B92">
        <w:rPr>
          <w:rFonts w:ascii="Times New Roman" w:hAnsi="Times New Roman" w:cs="Times New Roman"/>
          <w:sz w:val="24"/>
          <w:szCs w:val="24"/>
        </w:rPr>
        <w:t xml:space="preserve"> от </w:t>
      </w:r>
      <w:r w:rsidR="00BD4D66">
        <w:rPr>
          <w:rFonts w:ascii="Times New Roman" w:hAnsi="Times New Roman" w:cs="Times New Roman"/>
          <w:sz w:val="24"/>
          <w:szCs w:val="24"/>
        </w:rPr>
        <w:t xml:space="preserve">17.10.2022 </w:t>
      </w:r>
      <w:r w:rsidRPr="00DC1B92">
        <w:rPr>
          <w:rFonts w:ascii="Times New Roman" w:hAnsi="Times New Roman" w:cs="Times New Roman"/>
          <w:sz w:val="24"/>
          <w:szCs w:val="24"/>
        </w:rPr>
        <w:t>года «Об утверждении Положения о муниципальном контроле в сфере благоустройства на территории Буринского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4B64B0" w:rsidRPr="00DC1B92">
        <w:rPr>
          <w:rFonts w:ascii="Times New Roman" w:hAnsi="Times New Roman" w:cs="Times New Roman"/>
          <w:sz w:val="24"/>
          <w:szCs w:val="24"/>
        </w:rPr>
        <w:t>Буринского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AF1544">
        <w:rPr>
          <w:rFonts w:ascii="Times New Roman" w:hAnsi="Times New Roman" w:cs="Times New Roman"/>
          <w:sz w:val="24"/>
          <w:szCs w:val="24"/>
        </w:rPr>
        <w:t>31</w:t>
      </w:r>
      <w:r w:rsidR="004B64B0" w:rsidRPr="00DC1B92">
        <w:rPr>
          <w:rFonts w:ascii="Times New Roman" w:hAnsi="Times New Roman" w:cs="Times New Roman"/>
          <w:sz w:val="24"/>
          <w:szCs w:val="24"/>
        </w:rPr>
        <w:t>.0</w:t>
      </w:r>
      <w:r w:rsidR="00AF1544">
        <w:rPr>
          <w:rFonts w:ascii="Times New Roman" w:hAnsi="Times New Roman" w:cs="Times New Roman"/>
          <w:sz w:val="24"/>
          <w:szCs w:val="24"/>
        </w:rPr>
        <w:t>8</w:t>
      </w:r>
      <w:r w:rsidR="004B64B0" w:rsidRPr="00DC1B92">
        <w:rPr>
          <w:rFonts w:ascii="Times New Roman" w:hAnsi="Times New Roman" w:cs="Times New Roman"/>
          <w:sz w:val="24"/>
          <w:szCs w:val="24"/>
        </w:rPr>
        <w:t>.2018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B92">
        <w:rPr>
          <w:rFonts w:ascii="Times New Roman" w:hAnsi="Times New Roman" w:cs="Times New Roman"/>
          <w:sz w:val="24"/>
          <w:szCs w:val="24"/>
        </w:rPr>
        <w:t>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F531B7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AF1544">
        <w:rPr>
          <w:rFonts w:ascii="Times New Roman" w:hAnsi="Times New Roman" w:cs="Times New Roman"/>
          <w:sz w:val="24"/>
          <w:szCs w:val="24"/>
        </w:rPr>
        <w:t xml:space="preserve"> 26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«Об утверждении Правил благоустройства на территории </w:t>
      </w:r>
      <w:r w:rsidR="00343E50" w:rsidRPr="00DC1B92">
        <w:rPr>
          <w:rFonts w:ascii="Times New Roman" w:hAnsi="Times New Roman" w:cs="Times New Roman"/>
          <w:sz w:val="24"/>
          <w:szCs w:val="24"/>
        </w:rPr>
        <w:t>Буринского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43E50" w:rsidRPr="00DC1B92">
        <w:rPr>
          <w:rFonts w:ascii="Times New Roman" w:hAnsi="Times New Roman" w:cs="Times New Roman"/>
          <w:sz w:val="24"/>
          <w:szCs w:val="24"/>
        </w:rPr>
        <w:t>Кунашакского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343E50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Челябинской</w:t>
      </w:r>
      <w:r w:rsidR="00AF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0" w:name="sub_160102"/>
      <w:bookmarkEnd w:id="0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</w:t>
      </w:r>
      <w:r w:rsidR="00AF1544">
        <w:rPr>
          <w:rFonts w:ascii="Times New Roman" w:hAnsi="Times New Roman" w:cs="Times New Roman"/>
          <w:sz w:val="24"/>
          <w:szCs w:val="24"/>
        </w:rPr>
        <w:t>3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</w:t>
      </w:r>
      <w:r w:rsidR="00AF1544">
        <w:rPr>
          <w:rFonts w:ascii="Times New Roman" w:hAnsi="Times New Roman" w:cs="Times New Roman"/>
          <w:sz w:val="24"/>
          <w:szCs w:val="24"/>
        </w:rPr>
        <w:t>3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2127"/>
        <w:gridCol w:w="79"/>
        <w:gridCol w:w="1623"/>
      </w:tblGrid>
      <w:tr w:rsidR="00167EB1" w:rsidRPr="002F6F9F" w:rsidTr="00BD4D6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BD4D6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AC418D" w:rsidRDefault="00167EB1" w:rsidP="00AC4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исчерпывающий перечень сведений, которые могут запрашиваться контрольным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(надзорным) органом у контролируемого лица;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lastRenderedPageBreak/>
              <w:t>актуализация ежемесячно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167EB1" w:rsidRPr="002F6F9F" w:rsidTr="00AC418D">
        <w:trPr>
          <w:trHeight w:val="57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AF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AF1544"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BD4D6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 xml:space="preserve">положений нормативных правовых актов, </w:t>
            </w:r>
            <w:proofErr w:type="gramStart"/>
            <w:r w:rsidRPr="002F6F9F">
              <w:rPr>
                <w:rFonts w:ascii="Times New Roman" w:hAnsi="Times New Roman" w:cs="Times New Roman"/>
              </w:rPr>
              <w:t>муниципальных правовых актов</w:t>
            </w:r>
            <w:proofErr w:type="gramEnd"/>
            <w:r w:rsidRPr="002F6F9F">
              <w:rPr>
                <w:rFonts w:ascii="Times New Roman" w:hAnsi="Times New Roman" w:cs="Times New Roman"/>
              </w:rPr>
              <w:t xml:space="preserve"> содержащих обязательные требования, оценка </w:t>
            </w:r>
            <w:r w:rsidRPr="002F6F9F">
              <w:rPr>
                <w:rFonts w:ascii="Times New Roman" w:hAnsi="Times New Roman" w:cs="Times New Roman"/>
              </w:rPr>
              <w:lastRenderedPageBreak/>
              <w:t>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 xml:space="preserve">порядка обжалования решений уполномоченных органов, действий (бездействия) </w:t>
            </w:r>
            <w:proofErr w:type="gramStart"/>
            <w:r w:rsidRPr="002F6F9F">
              <w:rPr>
                <w:rFonts w:ascii="Times New Roman" w:hAnsi="Times New Roman" w:cs="Times New Roman"/>
              </w:rPr>
              <w:t>должностных лиц</w:t>
            </w:r>
            <w:proofErr w:type="gramEnd"/>
            <w:r w:rsidRPr="002F6F9F">
              <w:rPr>
                <w:rFonts w:ascii="Times New Roman" w:hAnsi="Times New Roman" w:cs="Times New Roman"/>
              </w:rPr>
              <w:t xml:space="preserve">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постоянно по мере поступления обращений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устно, письменно, посредством ВКС, посредством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размещения письменных ответов на запросы по электронной почте</w:t>
            </w:r>
          </w:p>
        </w:tc>
      </w:tr>
      <w:tr w:rsidR="00167EB1" w:rsidRPr="002F6F9F" w:rsidTr="00BD4D66">
        <w:tc>
          <w:tcPr>
            <w:tcW w:w="9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5. Профилактический визит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Буринского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BD4D6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8"/>
        <w:gridCol w:w="2126"/>
      </w:tblGrid>
      <w:tr w:rsidR="00744078" w:rsidRPr="00D90C58" w:rsidTr="00BD4D66">
        <w:tc>
          <w:tcPr>
            <w:tcW w:w="752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AF1544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2024</w:t>
            </w:r>
            <w:bookmarkStart w:id="1" w:name="_GoBack"/>
            <w:bookmarkEnd w:id="1"/>
            <w:r w:rsidR="008A4039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год, %</w:t>
            </w:r>
          </w:p>
        </w:tc>
      </w:tr>
      <w:tr w:rsidR="00744078" w:rsidRPr="00D90C58" w:rsidTr="00BD4D66">
        <w:tc>
          <w:tcPr>
            <w:tcW w:w="7528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E124A7" w:rsidRPr="00D90C58">
              <w:rPr>
                <w:rFonts w:ascii="Times New Roman" w:eastAsia="Times New Roman" w:hAnsi="Times New Roman" w:cs="Times New Roman"/>
                <w:lang w:eastAsia="ru-RU"/>
              </w:rPr>
              <w:t>Буринского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BD4D66">
        <w:tc>
          <w:tcPr>
            <w:tcW w:w="7528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BD4D66">
        <w:tc>
          <w:tcPr>
            <w:tcW w:w="7528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BD4D66">
        <w:tc>
          <w:tcPr>
            <w:tcW w:w="7528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18D" w:rsidRPr="00D41681" w:rsidRDefault="00AC418D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5"/>
        <w:gridCol w:w="2053"/>
        <w:gridCol w:w="2589"/>
        <w:gridCol w:w="1832"/>
      </w:tblGrid>
      <w:tr w:rsidR="000057D0" w:rsidRPr="000057D0" w:rsidTr="00BD4D66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608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BD4D66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608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 xml:space="preserve">По окончании года контрольный орган подводит итоги реализации программы профилактики, размещая отчёт на сайте контрольного органа не позднее </w:t>
      </w:r>
      <w:proofErr w:type="gramStart"/>
      <w:r w:rsidRPr="00D41681">
        <w:rPr>
          <w:rFonts w:ascii="Times New Roman" w:hAnsi="Times New Roman" w:cs="Times New Roman"/>
          <w:sz w:val="24"/>
        </w:rPr>
        <w:t>феврал</w:t>
      </w:r>
      <w:r w:rsidR="00FA17A4" w:rsidRPr="00D41681">
        <w:rPr>
          <w:rFonts w:ascii="Times New Roman" w:hAnsi="Times New Roman" w:cs="Times New Roman"/>
          <w:sz w:val="24"/>
        </w:rPr>
        <w:t>я</w:t>
      </w:r>
      <w:proofErr w:type="gramEnd"/>
      <w:r w:rsidR="00FA17A4" w:rsidRPr="00D41681">
        <w:rPr>
          <w:rFonts w:ascii="Times New Roman" w:hAnsi="Times New Roman" w:cs="Times New Roman"/>
          <w:sz w:val="24"/>
        </w:rPr>
        <w:t xml:space="preserve"> следующего за отчетным годом.</w:t>
      </w:r>
    </w:p>
    <w:sectPr w:rsidR="008E7E63" w:rsidRPr="00D41681" w:rsidSect="00BD4D66">
      <w:headerReference w:type="default" r:id="rId9"/>
      <w:headerReference w:type="first" r:id="rId10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3E" w:rsidRDefault="00CB493E" w:rsidP="00DC1B92">
      <w:pPr>
        <w:spacing w:after="0" w:line="240" w:lineRule="auto"/>
      </w:pPr>
      <w:r>
        <w:separator/>
      </w:r>
    </w:p>
  </w:endnote>
  <w:endnote w:type="continuationSeparator" w:id="0">
    <w:p w:rsidR="00CB493E" w:rsidRDefault="00CB493E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3E" w:rsidRDefault="00CB493E" w:rsidP="00DC1B92">
      <w:pPr>
        <w:spacing w:after="0" w:line="240" w:lineRule="auto"/>
      </w:pPr>
      <w:r>
        <w:separator/>
      </w:r>
    </w:p>
  </w:footnote>
  <w:footnote w:type="continuationSeparator" w:id="0">
    <w:p w:rsidR="00CB493E" w:rsidRDefault="00CB493E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AF1544">
          <w:rPr>
            <w:rFonts w:ascii="Times New Roman" w:hAnsi="Times New Roman" w:cs="Times New Roman"/>
            <w:noProof/>
            <w:sz w:val="24"/>
          </w:rPr>
          <w:t>8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44" w:rsidRDefault="00AF1544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C"/>
    <w:rsid w:val="000057D0"/>
    <w:rsid w:val="000539EE"/>
    <w:rsid w:val="00073019"/>
    <w:rsid w:val="000C399C"/>
    <w:rsid w:val="00167EB1"/>
    <w:rsid w:val="00177078"/>
    <w:rsid w:val="00182204"/>
    <w:rsid w:val="001E30B6"/>
    <w:rsid w:val="002164C8"/>
    <w:rsid w:val="002575CC"/>
    <w:rsid w:val="002620B1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E77AA"/>
    <w:rsid w:val="00812B4A"/>
    <w:rsid w:val="00814D4B"/>
    <w:rsid w:val="00843B79"/>
    <w:rsid w:val="00853E5E"/>
    <w:rsid w:val="00893929"/>
    <w:rsid w:val="008A4039"/>
    <w:rsid w:val="008C425B"/>
    <w:rsid w:val="008E7E63"/>
    <w:rsid w:val="00900923"/>
    <w:rsid w:val="009D3CC8"/>
    <w:rsid w:val="009D6017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C418D"/>
    <w:rsid w:val="00AF1544"/>
    <w:rsid w:val="00B52087"/>
    <w:rsid w:val="00BA5BB0"/>
    <w:rsid w:val="00BD4D66"/>
    <w:rsid w:val="00BE751C"/>
    <w:rsid w:val="00BF1492"/>
    <w:rsid w:val="00C05966"/>
    <w:rsid w:val="00C127A6"/>
    <w:rsid w:val="00C21562"/>
    <w:rsid w:val="00C752B5"/>
    <w:rsid w:val="00C97158"/>
    <w:rsid w:val="00CB493E"/>
    <w:rsid w:val="00CD28C8"/>
    <w:rsid w:val="00CF1C08"/>
    <w:rsid w:val="00CF3618"/>
    <w:rsid w:val="00D0025C"/>
    <w:rsid w:val="00D042B7"/>
    <w:rsid w:val="00D41681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D01B0"/>
    <w:rsid w:val="00EE1165"/>
    <w:rsid w:val="00EE4D11"/>
    <w:rsid w:val="00F007BB"/>
    <w:rsid w:val="00F21ACB"/>
    <w:rsid w:val="00F531B7"/>
    <w:rsid w:val="00F555B3"/>
    <w:rsid w:val="00F8736E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9E1B"/>
  <w15:docId w15:val="{16032116-AAFE-4DDA-9256-D0B0D659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BD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4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User</cp:lastModifiedBy>
  <cp:revision>4</cp:revision>
  <cp:lastPrinted>2022-10-17T06:40:00Z</cp:lastPrinted>
  <dcterms:created xsi:type="dcterms:W3CDTF">2022-12-23T09:03:00Z</dcterms:created>
  <dcterms:modified xsi:type="dcterms:W3CDTF">2023-09-27T05:07:00Z</dcterms:modified>
</cp:coreProperties>
</file>