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F1" w:rsidRPr="00F716D0" w:rsidRDefault="006C13F1" w:rsidP="006C1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D0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проекту бюджета  </w:t>
      </w:r>
    </w:p>
    <w:p w:rsidR="006C13F1" w:rsidRPr="00F716D0" w:rsidRDefault="006C13F1" w:rsidP="006C1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Кунашакского муниципального района</w:t>
      </w:r>
      <w:r w:rsidRPr="00F716D0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16D0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6C13F1" w:rsidRPr="00F716D0" w:rsidRDefault="006C13F1" w:rsidP="006C13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D0">
        <w:rPr>
          <w:rFonts w:ascii="Times New Roman" w:hAnsi="Times New Roman" w:cs="Times New Roman"/>
          <w:b/>
          <w:sz w:val="24"/>
          <w:szCs w:val="24"/>
        </w:rPr>
        <w:t>и плановый период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16D0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16D0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6C13F1" w:rsidRPr="00F716D0" w:rsidRDefault="006C13F1" w:rsidP="006C1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3F1" w:rsidRPr="00F716D0" w:rsidRDefault="006C13F1" w:rsidP="006C13F1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16D0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>
        <w:rPr>
          <w:rFonts w:ascii="Times New Roman" w:hAnsi="Times New Roman" w:cs="Times New Roman"/>
          <w:sz w:val="24"/>
          <w:szCs w:val="24"/>
        </w:rPr>
        <w:t>Кунашакского муниципального района</w:t>
      </w:r>
      <w:r w:rsidRPr="00F716D0">
        <w:rPr>
          <w:rFonts w:ascii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годов подготовлен в соответствии с требованиями Бюджетного кодекса Российской Федерации, Налогового кодекса Российской Федерации, Положения о бюджетном процессе в </w:t>
      </w:r>
      <w:r>
        <w:rPr>
          <w:rFonts w:ascii="Times New Roman" w:hAnsi="Times New Roman" w:cs="Times New Roman"/>
          <w:sz w:val="24"/>
          <w:szCs w:val="24"/>
        </w:rPr>
        <w:t>Кунашакском муниципальном районе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утвержденным решением Собрания депутатов от </w:t>
      </w:r>
      <w:r>
        <w:rPr>
          <w:rFonts w:ascii="Times New Roman" w:eastAsia="Times New Roman" w:hAnsi="Times New Roman" w:cs="Times New Roman"/>
          <w:sz w:val="24"/>
          <w:szCs w:val="24"/>
        </w:rPr>
        <w:t>20.05.2020 года № 58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, иных законодательных и нормативных правовых актов Российской Федерации, Челябинской области и </w:t>
      </w:r>
      <w:r>
        <w:rPr>
          <w:rFonts w:ascii="Times New Roman" w:hAnsi="Times New Roman" w:cs="Times New Roman"/>
          <w:sz w:val="24"/>
          <w:szCs w:val="24"/>
        </w:rPr>
        <w:t>Кунашакского муниципального района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6C13F1" w:rsidRPr="00F716D0" w:rsidRDefault="006C13F1" w:rsidP="006C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C13F1" w:rsidRPr="00440143" w:rsidRDefault="006C13F1" w:rsidP="006C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143">
        <w:rPr>
          <w:rFonts w:ascii="Times New Roman" w:eastAsia="Times New Roman" w:hAnsi="Times New Roman" w:cs="Times New Roman"/>
          <w:b/>
          <w:sz w:val="24"/>
          <w:szCs w:val="24"/>
        </w:rPr>
        <w:t xml:space="preserve">ДОХОДЫ </w:t>
      </w:r>
    </w:p>
    <w:p w:rsidR="006C13F1" w:rsidRPr="00440143" w:rsidRDefault="006C13F1" w:rsidP="006C13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3F1" w:rsidRPr="00F716D0" w:rsidRDefault="006C13F1" w:rsidP="006C13F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Начальным этапом при составлении проекта бюджета является планирование доходов. </w:t>
      </w:r>
    </w:p>
    <w:p w:rsidR="006C13F1" w:rsidRPr="00F716D0" w:rsidRDefault="006C13F1" w:rsidP="006C13F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С целью обеспечения устойчивого исполнения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бюджета планирование доходной части основывается на показателях базового варианта прогноза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Кунашакского муниципального района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13F1" w:rsidRPr="00F716D0" w:rsidRDefault="006C13F1" w:rsidP="006C13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Районный бюджет на 2024-2026 годы сформирован из принципа среднесрочного финансового планирования, закрепленного в Бюджетном Кодексе РФ, как одного из инструментов бюджетирования, ориентированного на результат. Это позволит обеспечить сбалансированность и устойчивость бюджетной системы района в среднесрочной перспективе.</w:t>
      </w:r>
    </w:p>
    <w:p w:rsidR="006C13F1" w:rsidRPr="00F716D0" w:rsidRDefault="006C13F1" w:rsidP="006C13F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Доходы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прогнозируются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 в сумме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1 963 052,200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тыс. рублей, 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1 321 342,600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тыс. рублей, 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6 год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1 373 424,600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году объем собственных доходов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составит </w:t>
      </w:r>
      <w:r>
        <w:rPr>
          <w:rFonts w:ascii="Times New Roman" w:eastAsia="Times New Roman" w:hAnsi="Times New Roman" w:cs="Times New Roman"/>
          <w:sz w:val="24"/>
          <w:szCs w:val="24"/>
        </w:rPr>
        <w:t>392 126,200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году – </w:t>
      </w:r>
      <w:r>
        <w:rPr>
          <w:rFonts w:ascii="Times New Roman" w:eastAsia="Times New Roman" w:hAnsi="Times New Roman" w:cs="Times New Roman"/>
          <w:sz w:val="24"/>
          <w:szCs w:val="24"/>
        </w:rPr>
        <w:t>421 220,500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году – </w:t>
      </w:r>
      <w:r>
        <w:rPr>
          <w:rFonts w:ascii="Times New Roman" w:eastAsia="Times New Roman" w:hAnsi="Times New Roman" w:cs="Times New Roman"/>
          <w:sz w:val="24"/>
          <w:szCs w:val="24"/>
        </w:rPr>
        <w:t>468 641,600 тыс. рублей.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Основными бюджетообразующими источниками бюджета </w:t>
      </w:r>
      <w:r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году остаются налог на доходы физических лиц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>акцизы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D0">
        <w:rPr>
          <w:rFonts w:ascii="Times New Roman" w:hAnsi="Times New Roman" w:cs="Times New Roman"/>
          <w:b/>
          <w:bCs/>
          <w:sz w:val="24"/>
          <w:szCs w:val="24"/>
        </w:rPr>
        <w:t>Налог на доходы физических лиц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В основу расчета налога на доходы физических лиц приняты: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- основные показатели среднесрочного прогноза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Кунашакского муниципального района</w:t>
      </w:r>
      <w:r w:rsidRPr="00F716D0">
        <w:rPr>
          <w:rFonts w:ascii="Times New Roman" w:hAnsi="Times New Roman" w:cs="Times New Roman"/>
          <w:sz w:val="24"/>
          <w:szCs w:val="24"/>
        </w:rPr>
        <w:t xml:space="preserve"> до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года о прогнозируемом фонде заработной платы;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- данные </w:t>
      </w:r>
      <w:r>
        <w:rPr>
          <w:rFonts w:ascii="Times New Roman" w:hAnsi="Times New Roman" w:cs="Times New Roman"/>
          <w:sz w:val="24"/>
          <w:szCs w:val="24"/>
        </w:rPr>
        <w:t>из фактического поступления за 10 месяцев 2023 года и динамики платежей предшествующих лет в ноябре – декабре месяце</w:t>
      </w:r>
      <w:r w:rsidRPr="00F716D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- данные Межрайонной ИФНС России №2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16D0">
        <w:rPr>
          <w:rFonts w:ascii="Times New Roman" w:hAnsi="Times New Roman" w:cs="Times New Roman"/>
          <w:sz w:val="24"/>
          <w:szCs w:val="24"/>
        </w:rPr>
        <w:t xml:space="preserve"> по Челябинской области о налоговых вычетах, заявленных налогоплательщиками – физическими лицами; о суммах, поступивших в бюджеты муниципальных образований области по результатам проведенной налоговыми органами контрольной работы; о суммах, поступивших в счет уп</w:t>
      </w:r>
      <w:r>
        <w:rPr>
          <w:rFonts w:ascii="Times New Roman" w:hAnsi="Times New Roman" w:cs="Times New Roman"/>
          <w:sz w:val="24"/>
          <w:szCs w:val="24"/>
        </w:rPr>
        <w:t>латы задолженности прошлых лет.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обеспечения рассчитанного роста будет продолжена работа, проводимая совместно с налоговыми органами по легализации заработной платы работающего населения и выводу из «тени» доходов предпринимателей.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6D0">
        <w:rPr>
          <w:rFonts w:ascii="Times New Roman" w:hAnsi="Times New Roman" w:cs="Times New Roman"/>
          <w:sz w:val="24"/>
          <w:szCs w:val="24"/>
        </w:rPr>
        <w:t>Прогнозируемое поступление налога на доходы физических лиц в местный бюджет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>
        <w:rPr>
          <w:rFonts w:ascii="Times New Roman" w:hAnsi="Times New Roman" w:cs="Times New Roman"/>
          <w:sz w:val="24"/>
          <w:szCs w:val="24"/>
        </w:rPr>
        <w:t>290 292,500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>
        <w:rPr>
          <w:rFonts w:ascii="Times New Roman" w:hAnsi="Times New Roman" w:cs="Times New Roman"/>
          <w:sz w:val="24"/>
          <w:szCs w:val="24"/>
        </w:rPr>
        <w:t>(д</w:t>
      </w:r>
      <w:r w:rsidRPr="00F716D0">
        <w:rPr>
          <w:rFonts w:ascii="Times New Roman" w:hAnsi="Times New Roman" w:cs="Times New Roman"/>
          <w:sz w:val="24"/>
          <w:szCs w:val="24"/>
        </w:rPr>
        <w:t>оля поступления налога в доходах местного бюджета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году прогнозируется на уровне </w:t>
      </w:r>
      <w:r>
        <w:rPr>
          <w:rFonts w:ascii="Times New Roman" w:eastAsia="Times New Roman" w:hAnsi="Times New Roman" w:cs="Times New Roman"/>
          <w:sz w:val="24"/>
          <w:szCs w:val="24"/>
        </w:rPr>
        <w:t>74,0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процен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в объеме собственных доходов), </w:t>
      </w:r>
      <w:r w:rsidRPr="00F716D0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316 127,500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343 460,400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рублей. </w:t>
      </w:r>
      <w:proofErr w:type="gramEnd"/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D0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Акцизы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3F1" w:rsidRPr="00F716D0" w:rsidRDefault="006C13F1" w:rsidP="006C13F1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6D0">
        <w:rPr>
          <w:rFonts w:ascii="Times New Roman" w:hAnsi="Times New Roman" w:cs="Times New Roman"/>
          <w:b w:val="0"/>
          <w:sz w:val="24"/>
          <w:szCs w:val="24"/>
        </w:rPr>
        <w:t>Расчет поступления акцизов произведен на основании положений главы 22 «Акцизы» части второй Налогового кодекса Российской Федерации с учетом изменения бюджетного и налогового законодательства в части изменения нормативов отчисления акцизов в местный бюджет согласно проекту Закона Челябинской области «Об областном бюджете на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F716D0">
        <w:rPr>
          <w:rFonts w:ascii="Times New Roman" w:hAnsi="Times New Roman" w:cs="Times New Roman"/>
          <w:b w:val="0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F716D0"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 w:val="0"/>
          <w:sz w:val="24"/>
          <w:szCs w:val="24"/>
        </w:rPr>
        <w:t>6</w:t>
      </w:r>
      <w:r w:rsidRPr="00F716D0">
        <w:rPr>
          <w:rFonts w:ascii="Times New Roman" w:hAnsi="Times New Roman" w:cs="Times New Roman"/>
          <w:b w:val="0"/>
          <w:sz w:val="24"/>
          <w:szCs w:val="24"/>
        </w:rPr>
        <w:t xml:space="preserve"> годов»</w:t>
      </w:r>
      <w:r w:rsidRPr="00F716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Прогноз поступления акцизов на автомобильный бензин, дизельное топливо и моторные масла, выполнен на основании прогноза поступлений доходов от уплаты акцизов на нефтепродукты по информации Министерства финансов Челябинской области.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Прогнозируемое поступление акцизов в целом в местный бюджет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составит </w:t>
      </w:r>
      <w:r>
        <w:rPr>
          <w:rFonts w:ascii="Times New Roman" w:hAnsi="Times New Roman" w:cs="Times New Roman"/>
          <w:sz w:val="24"/>
          <w:szCs w:val="24"/>
        </w:rPr>
        <w:t>50 649,300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52 657,800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 тыс. рублей,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71 015,300</w:t>
      </w:r>
      <w:r w:rsidRPr="00F716D0">
        <w:rPr>
          <w:rFonts w:ascii="Times New Roman" w:hAnsi="Times New Roman" w:cs="Times New Roman"/>
          <w:sz w:val="24"/>
          <w:szCs w:val="24"/>
        </w:rPr>
        <w:t>тыс. рублей.</w:t>
      </w:r>
      <w:r w:rsidRPr="00F71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Доля поступления налога в доходах местного бюджета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прогнозируется на уровне </w:t>
      </w:r>
      <w:r>
        <w:rPr>
          <w:rFonts w:ascii="Times New Roman" w:hAnsi="Times New Roman" w:cs="Times New Roman"/>
          <w:sz w:val="24"/>
          <w:szCs w:val="24"/>
        </w:rPr>
        <w:t xml:space="preserve">12,9 </w:t>
      </w:r>
      <w:r w:rsidRPr="00F716D0">
        <w:rPr>
          <w:rFonts w:ascii="Times New Roman" w:hAnsi="Times New Roman" w:cs="Times New Roman"/>
          <w:sz w:val="24"/>
          <w:szCs w:val="24"/>
        </w:rPr>
        <w:t>%.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6D0">
        <w:rPr>
          <w:rFonts w:ascii="Times New Roman" w:hAnsi="Times New Roman" w:cs="Times New Roman"/>
          <w:b/>
          <w:bCs/>
          <w:sz w:val="24"/>
          <w:szCs w:val="24"/>
        </w:rPr>
        <w:t>Налог, взимаемый в связи с применением упрощенной системы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F716D0">
        <w:rPr>
          <w:rFonts w:ascii="Times New Roman" w:hAnsi="Times New Roman" w:cs="Times New Roman"/>
          <w:b/>
          <w:bCs/>
          <w:sz w:val="24"/>
          <w:szCs w:val="24"/>
        </w:rPr>
        <w:t>алогообложения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3F1" w:rsidRPr="00F716D0" w:rsidRDefault="006C13F1" w:rsidP="006C1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Расчет поступлений налога, взимаемого в связи с применением упрощенной системы налогообложения (УСН), произведен в соответствии с </w:t>
      </w:r>
      <w:r w:rsidRPr="00517B30">
        <w:rPr>
          <w:rFonts w:ascii="Times New Roman" w:hAnsi="Times New Roman" w:cs="Times New Roman"/>
          <w:sz w:val="24"/>
          <w:szCs w:val="24"/>
        </w:rPr>
        <w:t>главой 26.2</w:t>
      </w:r>
      <w:r w:rsidRPr="00F716D0">
        <w:rPr>
          <w:rFonts w:ascii="Times New Roman" w:hAnsi="Times New Roman" w:cs="Times New Roman"/>
          <w:sz w:val="24"/>
          <w:szCs w:val="24"/>
        </w:rPr>
        <w:t xml:space="preserve"> «Упрощенная система налогообложения» части второй Налогового кодекса Российской Федерации. 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Прогноз поступления налога рассчитан исходя из отчетности администратора доходов – Межрайонной ИФНС России №2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16D0">
        <w:rPr>
          <w:rFonts w:ascii="Times New Roman" w:hAnsi="Times New Roman" w:cs="Times New Roman"/>
          <w:sz w:val="24"/>
          <w:szCs w:val="24"/>
        </w:rPr>
        <w:t xml:space="preserve"> по Челябинской области. Прогнозируемое поступление по налогу, взимаемому в связи с применением упрощенной системы налогообложения, в местный бюджет составит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 - 17 877,000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19 075,500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20 413,800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Доля поступления налога в доходах местного бюджета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прогнозируется на уровне </w:t>
      </w:r>
      <w:r>
        <w:rPr>
          <w:rFonts w:ascii="Times New Roman" w:hAnsi="Times New Roman" w:cs="Times New Roman"/>
          <w:sz w:val="24"/>
          <w:szCs w:val="24"/>
        </w:rPr>
        <w:t xml:space="preserve">4,6 </w:t>
      </w:r>
      <w:r w:rsidRPr="00F716D0">
        <w:rPr>
          <w:rFonts w:ascii="Times New Roman" w:hAnsi="Times New Roman" w:cs="Times New Roman"/>
          <w:sz w:val="24"/>
          <w:szCs w:val="24"/>
        </w:rPr>
        <w:t>%.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D0">
        <w:rPr>
          <w:rFonts w:ascii="Times New Roman" w:hAnsi="Times New Roman" w:cs="Times New Roman"/>
          <w:b/>
          <w:sz w:val="24"/>
          <w:szCs w:val="24"/>
        </w:rPr>
        <w:t>Единый сельскохозяйственный налог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Расчет поступлений </w:t>
      </w:r>
      <w:r w:rsidRPr="00F716D0">
        <w:rPr>
          <w:rFonts w:ascii="Times New Roman" w:hAnsi="Times New Roman" w:cs="Times New Roman"/>
          <w:iCs/>
          <w:sz w:val="24"/>
          <w:szCs w:val="24"/>
        </w:rPr>
        <w:t>единого сельскохозяйственного налога (ЕСХН)</w:t>
      </w:r>
      <w:r w:rsidRPr="00F716D0">
        <w:rPr>
          <w:rFonts w:ascii="Times New Roman" w:hAnsi="Times New Roman" w:cs="Times New Roman"/>
          <w:sz w:val="24"/>
          <w:szCs w:val="24"/>
        </w:rPr>
        <w:t xml:space="preserve"> произведен в соответствии с положениями </w:t>
      </w:r>
      <w:r w:rsidRPr="00AC4164">
        <w:rPr>
          <w:rFonts w:ascii="Times New Roman" w:hAnsi="Times New Roman" w:cs="Times New Roman"/>
          <w:sz w:val="24"/>
          <w:szCs w:val="24"/>
        </w:rPr>
        <w:t>главы 26.1</w:t>
      </w:r>
      <w:r w:rsidRPr="00F716D0">
        <w:rPr>
          <w:rFonts w:ascii="Times New Roman" w:hAnsi="Times New Roman" w:cs="Times New Roman"/>
          <w:sz w:val="24"/>
          <w:szCs w:val="24"/>
        </w:rPr>
        <w:t xml:space="preserve"> «Система налогообложения для сельскохозяйственных товаропроизводителей» части второй Налогового кодекса Российской Федерации. Норматив отчислений от данного налога в </w:t>
      </w:r>
      <w:r>
        <w:rPr>
          <w:rFonts w:ascii="Times New Roman" w:hAnsi="Times New Roman" w:cs="Times New Roman"/>
          <w:sz w:val="24"/>
          <w:szCs w:val="24"/>
        </w:rPr>
        <w:t>район</w:t>
      </w:r>
      <w:r w:rsidRPr="00F716D0">
        <w:rPr>
          <w:rFonts w:ascii="Times New Roman" w:hAnsi="Times New Roman" w:cs="Times New Roman"/>
          <w:sz w:val="24"/>
          <w:szCs w:val="24"/>
        </w:rPr>
        <w:t xml:space="preserve">ный бюджет составляет </w:t>
      </w:r>
      <w:r w:rsidRPr="0094516C">
        <w:rPr>
          <w:rFonts w:ascii="Times New Roman" w:hAnsi="Times New Roman" w:cs="Times New Roman"/>
          <w:sz w:val="24"/>
          <w:szCs w:val="24"/>
        </w:rPr>
        <w:t xml:space="preserve">70% и 30 % в бюджеты сельских </w:t>
      </w:r>
      <w:r w:rsidRPr="00AC4164">
        <w:rPr>
          <w:rFonts w:ascii="Times New Roman" w:hAnsi="Times New Roman" w:cs="Times New Roman"/>
          <w:sz w:val="24"/>
          <w:szCs w:val="24"/>
        </w:rPr>
        <w:t>поселений (согласно ст. 61.1 Бюджетного кодекса Российской Федерации).</w:t>
      </w:r>
    </w:p>
    <w:p w:rsidR="006C13F1" w:rsidRPr="00F716D0" w:rsidRDefault="006C13F1" w:rsidP="006C1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Прогноз поступления налога рассчитан исходя </w:t>
      </w:r>
      <w:r>
        <w:rPr>
          <w:rFonts w:ascii="Times New Roman" w:hAnsi="Times New Roman" w:cs="Times New Roman"/>
          <w:sz w:val="24"/>
          <w:szCs w:val="24"/>
        </w:rPr>
        <w:t xml:space="preserve">из данных </w:t>
      </w:r>
      <w:r w:rsidRPr="00DE1B6E">
        <w:rPr>
          <w:rFonts w:ascii="Times New Roman" w:eastAsia="Calibri" w:hAnsi="Times New Roman" w:cs="Times New Roman"/>
          <w:sz w:val="24"/>
          <w:szCs w:val="24"/>
        </w:rPr>
        <w:t>отчета 5-ЕСХН «О налоговой базе и структуре начислений по единому сельскохозяйственному налогу»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716D0">
        <w:rPr>
          <w:rFonts w:ascii="Times New Roman" w:hAnsi="Times New Roman" w:cs="Times New Roman"/>
          <w:sz w:val="24"/>
          <w:szCs w:val="24"/>
        </w:rPr>
        <w:t>администратора доходов – Межрайонной ИФНС России №2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16D0">
        <w:rPr>
          <w:rFonts w:ascii="Times New Roman" w:hAnsi="Times New Roman" w:cs="Times New Roman"/>
          <w:sz w:val="24"/>
          <w:szCs w:val="24"/>
        </w:rPr>
        <w:t xml:space="preserve"> по Челябинской области. 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Прогнозируемое поступление по </w:t>
      </w:r>
      <w:r w:rsidRPr="00F716D0">
        <w:rPr>
          <w:rFonts w:ascii="Times New Roman" w:hAnsi="Times New Roman" w:cs="Times New Roman"/>
          <w:iCs/>
          <w:sz w:val="24"/>
          <w:szCs w:val="24"/>
        </w:rPr>
        <w:t>единому сельскохозяйственному налогу</w:t>
      </w:r>
      <w:r w:rsidRPr="00F716D0">
        <w:rPr>
          <w:rFonts w:ascii="Times New Roman" w:hAnsi="Times New Roman" w:cs="Times New Roman"/>
          <w:sz w:val="24"/>
          <w:szCs w:val="24"/>
        </w:rPr>
        <w:t>, в местный бюджет составит на 202</w:t>
      </w:r>
      <w:r>
        <w:rPr>
          <w:rFonts w:ascii="Times New Roman" w:hAnsi="Times New Roman" w:cs="Times New Roman"/>
          <w:sz w:val="24"/>
          <w:szCs w:val="24"/>
        </w:rPr>
        <w:t>4 год – 401,000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рублей,  </w:t>
      </w:r>
      <w:r>
        <w:rPr>
          <w:rFonts w:ascii="Times New Roman" w:hAnsi="Times New Roman" w:cs="Times New Roman"/>
          <w:sz w:val="24"/>
          <w:szCs w:val="24"/>
        </w:rPr>
        <w:t xml:space="preserve">на 2025 год -553,600 тыс. рублей и на </w:t>
      </w:r>
      <w:r w:rsidRPr="00F716D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799,400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D0">
        <w:rPr>
          <w:rFonts w:ascii="Times New Roman" w:hAnsi="Times New Roman" w:cs="Times New Roman"/>
          <w:b/>
          <w:sz w:val="24"/>
          <w:szCs w:val="24"/>
        </w:rPr>
        <w:t>Налог, взимаемый в связи с применением патентной системы налогообложения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Расчет поступлений </w:t>
      </w:r>
      <w:proofErr w:type="gramStart"/>
      <w:r w:rsidRPr="00F716D0">
        <w:rPr>
          <w:rFonts w:ascii="Times New Roman" w:hAnsi="Times New Roman" w:cs="Times New Roman"/>
          <w:sz w:val="24"/>
          <w:szCs w:val="24"/>
        </w:rPr>
        <w:t>налога, взимаемого в связи с применением патентной системы налогообложения произведен</w:t>
      </w:r>
      <w:proofErr w:type="gramEnd"/>
      <w:r w:rsidRPr="00F716D0"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</w:t>
      </w:r>
      <w:r w:rsidRPr="00517B30">
        <w:rPr>
          <w:rFonts w:ascii="Times New Roman" w:hAnsi="Times New Roman" w:cs="Times New Roman"/>
          <w:sz w:val="24"/>
          <w:szCs w:val="24"/>
        </w:rPr>
        <w:t>главы 26.5</w:t>
      </w:r>
      <w:r w:rsidRPr="00F716D0">
        <w:rPr>
          <w:rFonts w:ascii="Times New Roman" w:hAnsi="Times New Roman" w:cs="Times New Roman"/>
          <w:sz w:val="24"/>
          <w:szCs w:val="24"/>
        </w:rPr>
        <w:t xml:space="preserve"> «Патентная система налогообложения» части второй Налогового кодекса Российской Федерации. Норматив отчислений от данного налога в местный бюджет составляет 100% согласно </w:t>
      </w:r>
      <w:r>
        <w:rPr>
          <w:rFonts w:ascii="Times New Roman" w:hAnsi="Times New Roman" w:cs="Times New Roman"/>
          <w:sz w:val="24"/>
          <w:szCs w:val="24"/>
        </w:rPr>
        <w:t>ст. 61.1</w:t>
      </w:r>
      <w:r w:rsidRPr="00F716D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Для расчета поступлений налога используется отчетность администратора доходов – Межрайонной ИФНС России №2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716D0">
        <w:rPr>
          <w:rFonts w:ascii="Times New Roman" w:hAnsi="Times New Roman" w:cs="Times New Roman"/>
          <w:sz w:val="24"/>
          <w:szCs w:val="24"/>
        </w:rPr>
        <w:t xml:space="preserve"> по Челябинской области.</w:t>
      </w: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В местный бюджет составит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1 500,000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  </w:t>
      </w:r>
      <w:r>
        <w:rPr>
          <w:rFonts w:ascii="Times New Roman" w:hAnsi="Times New Roman" w:cs="Times New Roman"/>
          <w:sz w:val="24"/>
          <w:szCs w:val="24"/>
        </w:rPr>
        <w:t>1 500,000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1 500,000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3F1" w:rsidRPr="00AC4164" w:rsidRDefault="006C13F1" w:rsidP="006C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164">
        <w:rPr>
          <w:rFonts w:ascii="Times New Roman" w:hAnsi="Times New Roman" w:cs="Times New Roman"/>
          <w:b/>
          <w:sz w:val="24"/>
          <w:szCs w:val="24"/>
        </w:rPr>
        <w:t>Государственная пошлина</w:t>
      </w:r>
    </w:p>
    <w:p w:rsidR="006C13F1" w:rsidRPr="00F716D0" w:rsidRDefault="006C13F1" w:rsidP="006C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 xml:space="preserve">Прогноз поступления государственной пошлины произведен на основании положений </w:t>
      </w:r>
      <w:r w:rsidRPr="00AC4164">
        <w:rPr>
          <w:rFonts w:ascii="Times New Roman" w:hAnsi="Times New Roman" w:cs="Times New Roman"/>
          <w:sz w:val="24"/>
          <w:szCs w:val="24"/>
        </w:rPr>
        <w:t>главы 25.3 «</w:t>
      </w:r>
      <w:r w:rsidRPr="00F716D0">
        <w:rPr>
          <w:rFonts w:ascii="Times New Roman" w:hAnsi="Times New Roman" w:cs="Times New Roman"/>
          <w:sz w:val="24"/>
          <w:szCs w:val="24"/>
        </w:rPr>
        <w:t>Государственная пошлина» части второй Налогового кодекса Российской Федерации, статьи 61.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16D0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6C13F1" w:rsidRPr="00F716D0" w:rsidRDefault="006C13F1" w:rsidP="006C1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Расчет прогнозируемой суммы государственной пошлины выполнен на основании прогнозных показателей администраторов получателей доходов (Межрайонной ИФНС России №2</w:t>
      </w:r>
      <w:r>
        <w:rPr>
          <w:rFonts w:ascii="Times New Roman" w:hAnsi="Times New Roman" w:cs="Times New Roman"/>
          <w:sz w:val="24"/>
          <w:szCs w:val="24"/>
        </w:rPr>
        <w:t>2 по Челябинской области</w:t>
      </w:r>
      <w:r w:rsidRPr="00F716D0">
        <w:rPr>
          <w:rFonts w:ascii="Times New Roman" w:hAnsi="Times New Roman" w:cs="Times New Roman"/>
          <w:sz w:val="24"/>
          <w:szCs w:val="24"/>
        </w:rPr>
        <w:t>), а также динамики фактического поступления за 3 года и ожидаемого поступления пошлины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Общий объем поступлений государственной пошлины в местный бюджет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прогнозируется в сумме </w:t>
      </w:r>
      <w:r>
        <w:rPr>
          <w:rFonts w:ascii="Times New Roman" w:hAnsi="Times New Roman" w:cs="Times New Roman"/>
          <w:sz w:val="24"/>
          <w:szCs w:val="24"/>
        </w:rPr>
        <w:t>4 179,500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 w:cs="Times New Roman"/>
          <w:sz w:val="24"/>
          <w:szCs w:val="24"/>
        </w:rPr>
        <w:t>5 год</w:t>
      </w:r>
      <w:r w:rsidRPr="00F71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- 4 288,200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4 412,600</w:t>
      </w:r>
      <w:r w:rsidRPr="00F716D0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D0">
        <w:rPr>
          <w:rFonts w:ascii="Times New Roman" w:hAnsi="Times New Roman" w:cs="Times New Roman"/>
          <w:sz w:val="24"/>
          <w:szCs w:val="24"/>
        </w:rPr>
        <w:t>Доля поступления государственной пошлины в местный бюджет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6D0">
        <w:rPr>
          <w:rFonts w:ascii="Times New Roman" w:hAnsi="Times New Roman" w:cs="Times New Roman"/>
          <w:sz w:val="24"/>
          <w:szCs w:val="24"/>
        </w:rPr>
        <w:t xml:space="preserve"> году прогнозируется на уровне </w:t>
      </w:r>
      <w:r>
        <w:rPr>
          <w:rFonts w:ascii="Times New Roman" w:hAnsi="Times New Roman" w:cs="Times New Roman"/>
          <w:sz w:val="24"/>
          <w:szCs w:val="24"/>
        </w:rPr>
        <w:t xml:space="preserve">1,1 </w:t>
      </w:r>
      <w:r w:rsidRPr="00F716D0">
        <w:rPr>
          <w:rFonts w:ascii="Times New Roman" w:hAnsi="Times New Roman" w:cs="Times New Roman"/>
          <w:sz w:val="24"/>
          <w:szCs w:val="24"/>
        </w:rPr>
        <w:t>%.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3F1" w:rsidRDefault="006C13F1" w:rsidP="006C13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6D0">
        <w:rPr>
          <w:rFonts w:ascii="Times New Roman" w:hAnsi="Times New Roman" w:cs="Times New Roman"/>
          <w:b/>
          <w:sz w:val="24"/>
          <w:szCs w:val="24"/>
        </w:rPr>
        <w:t>Доходы от использования имущества, находящегося в государственной и муниципальной собственности</w:t>
      </w:r>
    </w:p>
    <w:p w:rsidR="006C13F1" w:rsidRPr="00AC4164" w:rsidRDefault="006C13F1" w:rsidP="006C13F1">
      <w:pPr>
        <w:pStyle w:val="a6"/>
        <w:jc w:val="both"/>
      </w:pPr>
      <w:r>
        <w:tab/>
      </w:r>
      <w:r w:rsidRPr="00D277EA">
        <w:rPr>
          <w:b/>
          <w:bCs/>
          <w:i/>
        </w:rPr>
        <w:t xml:space="preserve">Доходы, получаемые в виде арендной платы за земельные участки, государственная собственность на которые не </w:t>
      </w:r>
      <w:proofErr w:type="gramStart"/>
      <w:r w:rsidRPr="00D277EA">
        <w:rPr>
          <w:b/>
          <w:bCs/>
          <w:i/>
        </w:rPr>
        <w:t>разграничена</w:t>
      </w:r>
      <w:r w:rsidRPr="00AC4164">
        <w:t xml:space="preserve"> </w:t>
      </w:r>
      <w:r>
        <w:t>пр</w:t>
      </w:r>
      <w:r w:rsidRPr="00AC4164">
        <w:t xml:space="preserve">огноз </w:t>
      </w:r>
      <w:r>
        <w:t xml:space="preserve"> </w:t>
      </w:r>
      <w:r w:rsidRPr="00AC4164">
        <w:t xml:space="preserve">поступления </w:t>
      </w:r>
      <w:r>
        <w:t xml:space="preserve"> </w:t>
      </w:r>
      <w:r w:rsidRPr="00AC4164">
        <w:t>в 202</w:t>
      </w:r>
      <w:r>
        <w:t>4</w:t>
      </w:r>
      <w:r w:rsidRPr="00AC4164">
        <w:t xml:space="preserve"> году</w:t>
      </w:r>
      <w:r>
        <w:t xml:space="preserve"> </w:t>
      </w:r>
      <w:r w:rsidRPr="00AC4164">
        <w:t xml:space="preserve"> составит</w:t>
      </w:r>
      <w:proofErr w:type="gramEnd"/>
      <w:r>
        <w:t xml:space="preserve"> </w:t>
      </w:r>
      <w:r w:rsidRPr="00AC4164">
        <w:t xml:space="preserve"> – </w:t>
      </w:r>
      <w:r>
        <w:t xml:space="preserve">        4 126,700 тыс. рублей</w:t>
      </w:r>
      <w:r w:rsidRPr="00AC4164">
        <w:t>, в 202</w:t>
      </w:r>
      <w:r>
        <w:t>5</w:t>
      </w:r>
      <w:r w:rsidRPr="00AC4164">
        <w:t xml:space="preserve"> году – </w:t>
      </w:r>
      <w:r>
        <w:t>4 126,700</w:t>
      </w:r>
      <w:r w:rsidRPr="00AC4164">
        <w:t xml:space="preserve"> тыс. рублей, в 202</w:t>
      </w:r>
      <w:r>
        <w:t>6</w:t>
      </w:r>
      <w:r w:rsidRPr="00AC4164">
        <w:t xml:space="preserve"> году – </w:t>
      </w:r>
      <w:r>
        <w:t>4 126,700</w:t>
      </w:r>
      <w:r w:rsidRPr="00AC4164">
        <w:t xml:space="preserve"> тыс. рублей. </w:t>
      </w:r>
      <w:r>
        <w:t>Д</w:t>
      </w:r>
      <w:r w:rsidRPr="00AC4164">
        <w:t>анный вид дохода поступает в районный бюджет в размере 100%. Прогноз рассчитан по данным Управления  имущественных и земельных отношений  Кунашакского муниципального район, исходя из  заключенных договоров аренды   земельных участков.</w:t>
      </w:r>
    </w:p>
    <w:p w:rsidR="006C13F1" w:rsidRDefault="006C13F1" w:rsidP="006C13F1">
      <w:pPr>
        <w:pStyle w:val="a6"/>
        <w:spacing w:before="0" w:beforeAutospacing="0" w:after="0" w:afterAutospacing="0"/>
        <w:jc w:val="both"/>
      </w:pPr>
      <w:r>
        <w:rPr>
          <w:b/>
          <w:bCs/>
        </w:rPr>
        <w:tab/>
      </w:r>
      <w:r w:rsidRPr="00D277EA">
        <w:rPr>
          <w:b/>
          <w:bCs/>
          <w:i/>
        </w:rPr>
        <w:t>Доходы от реализации имущества, находящегося в собственности муниципальных районов</w:t>
      </w:r>
      <w:r w:rsidRPr="00AC4164">
        <w:rPr>
          <w:b/>
          <w:bCs/>
        </w:rPr>
        <w:t xml:space="preserve"> </w:t>
      </w:r>
      <w:r w:rsidRPr="00AC4164">
        <w:t xml:space="preserve">включает доходы от продажи муниципального имущества и земельных участков. </w:t>
      </w:r>
    </w:p>
    <w:p w:rsidR="006C13F1" w:rsidRDefault="006C13F1" w:rsidP="006C13F1">
      <w:pPr>
        <w:pStyle w:val="a6"/>
        <w:spacing w:before="0" w:beforeAutospacing="0" w:after="0" w:afterAutospacing="0"/>
        <w:jc w:val="both"/>
      </w:pPr>
      <w:r>
        <w:t xml:space="preserve">- </w:t>
      </w:r>
      <w:r w:rsidRPr="007A69F4">
        <w:rPr>
          <w:b/>
        </w:rPr>
        <w:t>доходы от продажи земельных участков</w:t>
      </w:r>
      <w:r w:rsidRPr="00AC4164">
        <w:t xml:space="preserve"> на 202</w:t>
      </w:r>
      <w:r>
        <w:t>4</w:t>
      </w:r>
      <w:r w:rsidRPr="00AC4164">
        <w:t>-202</w:t>
      </w:r>
      <w:r>
        <w:t>6</w:t>
      </w:r>
      <w:r w:rsidRPr="00AC4164">
        <w:t xml:space="preserve"> год состав</w:t>
      </w:r>
      <w:r>
        <w:t xml:space="preserve">ят </w:t>
      </w:r>
      <w:r w:rsidRPr="00AC4164">
        <w:t>6</w:t>
      </w:r>
      <w:r>
        <w:t> 576,500</w:t>
      </w:r>
      <w:r w:rsidRPr="00AC4164">
        <w:t xml:space="preserve">  тыс. рублей</w:t>
      </w:r>
      <w:r>
        <w:t xml:space="preserve"> ежегодно; </w:t>
      </w:r>
    </w:p>
    <w:p w:rsidR="006C13F1" w:rsidRDefault="006C13F1" w:rsidP="006C13F1">
      <w:pPr>
        <w:pStyle w:val="a6"/>
        <w:spacing w:before="0" w:beforeAutospacing="0" w:after="0" w:afterAutospacing="0"/>
        <w:jc w:val="both"/>
      </w:pPr>
      <w:r>
        <w:t xml:space="preserve">- </w:t>
      </w:r>
      <w:r w:rsidRPr="007A69F4">
        <w:rPr>
          <w:b/>
        </w:rPr>
        <w:t>доходы от продажи имущества</w:t>
      </w:r>
      <w:r>
        <w:t xml:space="preserve"> на 2024-2026 год составят 4 000,000  тыс. рублей ежегодно.</w:t>
      </w:r>
    </w:p>
    <w:p w:rsidR="006C13F1" w:rsidRDefault="006C13F1" w:rsidP="006C13F1">
      <w:pPr>
        <w:pStyle w:val="a6"/>
        <w:spacing w:before="0" w:beforeAutospacing="0" w:after="0" w:afterAutospacing="0"/>
        <w:jc w:val="both"/>
      </w:pPr>
      <w:r>
        <w:t>Да</w:t>
      </w:r>
      <w:r w:rsidRPr="00AC4164">
        <w:t>нный вид дохода поступает в районный бюджет в размере 100%. Прогноз рассчитан на основании данных</w:t>
      </w:r>
      <w:r>
        <w:t xml:space="preserve"> главного</w:t>
      </w:r>
      <w:r w:rsidRPr="00AC4164">
        <w:t xml:space="preserve"> администратор</w:t>
      </w:r>
      <w:r>
        <w:t xml:space="preserve">а </w:t>
      </w:r>
      <w:r w:rsidRPr="00AC4164">
        <w:t xml:space="preserve">доходов </w:t>
      </w:r>
      <w:r>
        <w:t>- Управления</w:t>
      </w:r>
      <w:r w:rsidRPr="00AC4164">
        <w:t xml:space="preserve"> имущественных и земельных отношений.     </w:t>
      </w:r>
    </w:p>
    <w:p w:rsidR="006C13F1" w:rsidRDefault="006C13F1" w:rsidP="006C13F1">
      <w:pPr>
        <w:pStyle w:val="a6"/>
        <w:jc w:val="center"/>
      </w:pPr>
      <w:r w:rsidRPr="00AC4164">
        <w:rPr>
          <w:b/>
          <w:bCs/>
        </w:rPr>
        <w:t>Доходы от оказания платных услуг</w:t>
      </w:r>
    </w:p>
    <w:p w:rsidR="006C13F1" w:rsidRPr="00AC4164" w:rsidRDefault="006C13F1" w:rsidP="006C13F1">
      <w:pPr>
        <w:pStyle w:val="a6"/>
        <w:jc w:val="both"/>
      </w:pPr>
      <w:r>
        <w:tab/>
        <w:t xml:space="preserve">Прогноз поступления </w:t>
      </w:r>
      <w:r w:rsidRPr="00AC4164">
        <w:t>казенными учреждениями района в 202</w:t>
      </w:r>
      <w:r>
        <w:t>4</w:t>
      </w:r>
      <w:r w:rsidRPr="00AC4164">
        <w:t xml:space="preserve"> году – 6 </w:t>
      </w:r>
      <w:r>
        <w:t>235</w:t>
      </w:r>
      <w:r w:rsidRPr="00AC4164">
        <w:t>,000 тыс. рублей,  на 202</w:t>
      </w:r>
      <w:r>
        <w:t>5</w:t>
      </w:r>
      <w:r w:rsidRPr="00AC4164">
        <w:t xml:space="preserve"> год</w:t>
      </w:r>
      <w:r>
        <w:t xml:space="preserve"> - 6 005,000</w:t>
      </w:r>
      <w:r w:rsidRPr="00AC4164">
        <w:t xml:space="preserve">  тыс. рублей  и  на 202</w:t>
      </w:r>
      <w:r>
        <w:t>6</w:t>
      </w:r>
      <w:r w:rsidRPr="00AC4164">
        <w:t xml:space="preserve"> год – 6 </w:t>
      </w:r>
      <w:r>
        <w:t>005</w:t>
      </w:r>
      <w:r w:rsidRPr="00AC4164">
        <w:t>,000 тыс. рублей. Прогноз поступления  рассчитан на основании данных главн</w:t>
      </w:r>
      <w:r>
        <w:t xml:space="preserve">ого </w:t>
      </w:r>
      <w:r w:rsidRPr="00AC4164">
        <w:t xml:space="preserve"> администратор</w:t>
      </w:r>
      <w:r>
        <w:t xml:space="preserve">а </w:t>
      </w:r>
      <w:r w:rsidRPr="00AC4164">
        <w:t>доходов - Управлением образования.</w:t>
      </w:r>
    </w:p>
    <w:p w:rsidR="006C13F1" w:rsidRDefault="006C13F1" w:rsidP="006C13F1">
      <w:pPr>
        <w:pStyle w:val="a6"/>
        <w:jc w:val="center"/>
        <w:rPr>
          <w:b/>
          <w:bCs/>
        </w:rPr>
      </w:pPr>
      <w:r w:rsidRPr="00AC4164">
        <w:rPr>
          <w:b/>
          <w:bCs/>
        </w:rPr>
        <w:t>Платежи при пользовании природными ресурсами</w:t>
      </w:r>
    </w:p>
    <w:p w:rsidR="006C13F1" w:rsidRPr="00AC4164" w:rsidRDefault="006C13F1" w:rsidP="006C13F1">
      <w:pPr>
        <w:pStyle w:val="a6"/>
        <w:jc w:val="both"/>
        <w:rPr>
          <w:b/>
          <w:bCs/>
        </w:rPr>
      </w:pPr>
      <w:r>
        <w:tab/>
        <w:t xml:space="preserve">Запланировано </w:t>
      </w:r>
      <w:r w:rsidRPr="00AC4164">
        <w:t>поступление платы за негативное воздействие на окружающую среду</w:t>
      </w:r>
      <w:r>
        <w:t xml:space="preserve"> </w:t>
      </w:r>
      <w:r w:rsidRPr="00AC4164">
        <w:t>в 202</w:t>
      </w:r>
      <w:r>
        <w:t>4</w:t>
      </w:r>
      <w:r w:rsidRPr="00AC4164">
        <w:t xml:space="preserve"> году – </w:t>
      </w:r>
      <w:r>
        <w:t>356,900</w:t>
      </w:r>
      <w:r w:rsidRPr="00AC4164">
        <w:t xml:space="preserve"> тыс. рублей, в 202</w:t>
      </w:r>
      <w:r>
        <w:t>5</w:t>
      </w:r>
      <w:r w:rsidRPr="00AC4164">
        <w:t xml:space="preserve"> году – </w:t>
      </w:r>
      <w:r>
        <w:t>377,900</w:t>
      </w:r>
      <w:r w:rsidRPr="00AC4164">
        <w:t xml:space="preserve"> тыс. рублей, в 202</w:t>
      </w:r>
      <w:r>
        <w:t>6</w:t>
      </w:r>
      <w:r w:rsidRPr="00AC4164">
        <w:t xml:space="preserve"> году –</w:t>
      </w:r>
      <w:r>
        <w:t xml:space="preserve"> 400,100</w:t>
      </w:r>
      <w:r w:rsidRPr="00AC4164">
        <w:t xml:space="preserve"> тыс. рублей. Прогноз расс</w:t>
      </w:r>
      <w:r>
        <w:t xml:space="preserve">читан на основании данных главного </w:t>
      </w:r>
      <w:r w:rsidRPr="00AC4164">
        <w:t>администратор</w:t>
      </w:r>
      <w:r>
        <w:t xml:space="preserve">а </w:t>
      </w:r>
      <w:r w:rsidRPr="00AC4164">
        <w:t>доходов</w:t>
      </w:r>
      <w:r>
        <w:t xml:space="preserve"> – Федеральной службы по надзору в сфере природопользования.</w:t>
      </w:r>
    </w:p>
    <w:p w:rsidR="006C13F1" w:rsidRDefault="006C13F1" w:rsidP="006C13F1">
      <w:pPr>
        <w:pStyle w:val="a6"/>
        <w:jc w:val="center"/>
        <w:rPr>
          <w:b/>
          <w:bCs/>
        </w:rPr>
      </w:pPr>
      <w:r w:rsidRPr="00AC4164">
        <w:rPr>
          <w:b/>
          <w:bCs/>
        </w:rPr>
        <w:t>Штрафы, санкции, возмещение ущерба</w:t>
      </w:r>
    </w:p>
    <w:p w:rsidR="006C13F1" w:rsidRPr="00AC4164" w:rsidRDefault="006C13F1" w:rsidP="006C13F1">
      <w:pPr>
        <w:pStyle w:val="a6"/>
        <w:jc w:val="both"/>
      </w:pPr>
      <w:r>
        <w:tab/>
        <w:t>П</w:t>
      </w:r>
      <w:r w:rsidRPr="00AC4164">
        <w:t>рогноз поступления доходов составляет на  202</w:t>
      </w:r>
      <w:r>
        <w:t>4</w:t>
      </w:r>
      <w:r w:rsidRPr="00AC4164">
        <w:t xml:space="preserve"> год в сумме 2</w:t>
      </w:r>
      <w:r>
        <w:t> 000,000</w:t>
      </w:r>
      <w:r w:rsidRPr="00AC4164">
        <w:t xml:space="preserve"> тыс. рублей</w:t>
      </w:r>
      <w:r>
        <w:t>,</w:t>
      </w:r>
      <w:r w:rsidRPr="00AC4164">
        <w:t xml:space="preserve"> на 202</w:t>
      </w:r>
      <w:r>
        <w:t>5</w:t>
      </w:r>
      <w:r w:rsidRPr="00AC4164">
        <w:t xml:space="preserve"> год – 2</w:t>
      </w:r>
      <w:r>
        <w:t> 000,000</w:t>
      </w:r>
      <w:r w:rsidRPr="00AC4164">
        <w:t xml:space="preserve"> тыс. рублей и на  202</w:t>
      </w:r>
      <w:r>
        <w:t>6</w:t>
      </w:r>
      <w:r w:rsidRPr="00AC4164">
        <w:t xml:space="preserve"> год </w:t>
      </w:r>
      <w:r>
        <w:t xml:space="preserve">- </w:t>
      </w:r>
      <w:r w:rsidRPr="00AC4164">
        <w:t>2</w:t>
      </w:r>
      <w:r>
        <w:t> 000,000</w:t>
      </w:r>
      <w:r w:rsidRPr="00AC4164">
        <w:t xml:space="preserve"> тыс. рублей. Прогноз рассчитан на основании данных  главных администраторов доходов.</w:t>
      </w:r>
    </w:p>
    <w:p w:rsidR="006C13F1" w:rsidRPr="00F716D0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13F1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4E4">
        <w:rPr>
          <w:rFonts w:ascii="Times New Roman" w:hAnsi="Times New Roman" w:cs="Times New Roman"/>
          <w:b/>
          <w:sz w:val="24"/>
          <w:szCs w:val="24"/>
        </w:rPr>
        <w:t>БЕЗВОЗМЕЗДНЫЕ ПОСТУПЛЕНИЯ</w:t>
      </w:r>
    </w:p>
    <w:p w:rsidR="006C13F1" w:rsidRPr="00A134E4" w:rsidRDefault="006C13F1" w:rsidP="006C1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3F1" w:rsidRPr="00F716D0" w:rsidRDefault="006C13F1" w:rsidP="006C13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6D0">
        <w:rPr>
          <w:rFonts w:ascii="Times New Roman" w:eastAsia="Times New Roman" w:hAnsi="Times New Roman" w:cs="Times New Roman"/>
          <w:sz w:val="24"/>
          <w:szCs w:val="24"/>
        </w:rPr>
        <w:t>На долю межбюджетных трансфертов из областного бюджета в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году приходится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80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всех доходов в районный бюджет и составляет 1 570 926,000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</w:rPr>
        <w:t>5 году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900 122,100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202</w:t>
      </w:r>
      <w:r>
        <w:rPr>
          <w:rFonts w:ascii="Times New Roman" w:eastAsia="Times New Roman" w:hAnsi="Times New Roman" w:cs="Times New Roman"/>
          <w:sz w:val="24"/>
          <w:szCs w:val="24"/>
        </w:rPr>
        <w:t>6 году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904 783,000</w:t>
      </w:r>
      <w:r w:rsidRPr="00F716D0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6C13F1" w:rsidRDefault="006C13F1" w:rsidP="006C13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570A" w:rsidRDefault="00CD570A" w:rsidP="00CD570A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D1636">
        <w:rPr>
          <w:b/>
          <w:i/>
          <w:sz w:val="28"/>
          <w:szCs w:val="28"/>
        </w:rPr>
        <w:t>Расходная часть бюджета</w:t>
      </w:r>
    </w:p>
    <w:p w:rsidR="00CD570A" w:rsidRPr="000D1636" w:rsidRDefault="00CD570A" w:rsidP="00CD570A">
      <w:pPr>
        <w:pStyle w:val="a6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CD570A" w:rsidRPr="00CD570A" w:rsidRDefault="00CD570A" w:rsidP="00CD570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Особенности и основные направления бюджетной политики Кунашакского муниципального района в 202</w:t>
      </w:r>
      <w:r w:rsidR="00C918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определяются с учетом сложившейся в текущем году непростой экономической ситуации.</w:t>
      </w:r>
    </w:p>
    <w:p w:rsidR="00CD570A" w:rsidRPr="00CD570A" w:rsidRDefault="00CD570A" w:rsidP="00CD570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Сложившаяся ситуация требует наиболее ответственного подхода к планированию бюджетных расходов, что в первую очередь ставит задачу их приоритизации.</w:t>
      </w:r>
    </w:p>
    <w:p w:rsidR="00CD570A" w:rsidRDefault="00CD570A" w:rsidP="00CD570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объем расходов бюджета Кунашакского муниципаль</w:t>
      </w:r>
      <w:r w:rsidR="00137B38">
        <w:rPr>
          <w:rFonts w:ascii="Times New Roman" w:hAnsi="Times New Roman" w:cs="Times New Roman"/>
          <w:color w:val="000000" w:themeColor="text1"/>
          <w:sz w:val="24"/>
          <w:szCs w:val="24"/>
        </w:rPr>
        <w:t>ного района планируется в сумме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D570A" w:rsidRPr="00CD570A" w:rsidRDefault="00CD570A" w:rsidP="00CD570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570A" w:rsidRPr="00CD570A" w:rsidRDefault="00CD570A" w:rsidP="00CD570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C918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="00137B3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180E">
        <w:rPr>
          <w:rFonts w:ascii="Times New Roman" w:hAnsi="Times New Roman" w:cs="Times New Roman"/>
          <w:color w:val="000000" w:themeColor="text1"/>
          <w:sz w:val="24"/>
          <w:szCs w:val="24"/>
        </w:rPr>
        <w:t>1 963 052,200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рублей, </w:t>
      </w:r>
    </w:p>
    <w:p w:rsidR="00CD570A" w:rsidRPr="00CD570A" w:rsidRDefault="00CD570A" w:rsidP="00CD570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C918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– </w:t>
      </w:r>
      <w:r w:rsidR="00C9180E">
        <w:rPr>
          <w:rFonts w:ascii="Times New Roman" w:hAnsi="Times New Roman" w:cs="Times New Roman"/>
          <w:color w:val="000000" w:themeColor="text1"/>
          <w:sz w:val="24"/>
          <w:szCs w:val="24"/>
        </w:rPr>
        <w:t>1 321 342,600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 </w:t>
      </w:r>
    </w:p>
    <w:p w:rsidR="00CD570A" w:rsidRDefault="00CD570A" w:rsidP="00CD570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>На 202</w:t>
      </w:r>
      <w:r w:rsidR="00C918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="00C9180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180E">
        <w:rPr>
          <w:rFonts w:ascii="Times New Roman" w:hAnsi="Times New Roman" w:cs="Times New Roman"/>
          <w:color w:val="000000" w:themeColor="text1"/>
          <w:sz w:val="24"/>
          <w:szCs w:val="24"/>
        </w:rPr>
        <w:t>1 373 424,600</w:t>
      </w:r>
      <w:r w:rsidRPr="00CD5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рублей.</w:t>
      </w:r>
    </w:p>
    <w:p w:rsidR="00CD570A" w:rsidRPr="00CD570A" w:rsidRDefault="00CD570A" w:rsidP="00CD570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570A" w:rsidRPr="00CD570A" w:rsidRDefault="00CD570A" w:rsidP="00CD570A">
      <w:pPr>
        <w:pStyle w:val="10"/>
        <w:spacing w:before="0" w:beforeAutospacing="0" w:after="0" w:afterAutospacing="0"/>
        <w:ind w:firstLine="720"/>
        <w:jc w:val="both"/>
      </w:pPr>
      <w:r w:rsidRPr="00CD570A">
        <w:rPr>
          <w:color w:val="000000" w:themeColor="text1"/>
        </w:rPr>
        <w:t xml:space="preserve">Бюджет Кунашакского муниципального района сформирован по программному принципу, это </w:t>
      </w:r>
      <w:r w:rsidR="00567B07">
        <w:rPr>
          <w:color w:val="000000" w:themeColor="text1"/>
        </w:rPr>
        <w:t>91,8</w:t>
      </w:r>
      <w:r w:rsidRPr="00CD570A">
        <w:rPr>
          <w:color w:val="000000" w:themeColor="text1"/>
        </w:rPr>
        <w:t xml:space="preserve"> % от общего объема расходов бюджета </w:t>
      </w:r>
      <w:r w:rsidRPr="00CD570A">
        <w:t xml:space="preserve">(или </w:t>
      </w:r>
      <w:r w:rsidR="00D53EAB">
        <w:t>1</w:t>
      </w:r>
      <w:r w:rsidR="00C9180E">
        <w:t> 80</w:t>
      </w:r>
      <w:r w:rsidR="00875610" w:rsidRPr="00875610">
        <w:t>1</w:t>
      </w:r>
      <w:r w:rsidR="00875610">
        <w:t xml:space="preserve"> </w:t>
      </w:r>
      <w:r w:rsidR="00875610" w:rsidRPr="00875610">
        <w:t>8</w:t>
      </w:r>
      <w:r w:rsidR="00C9180E">
        <w:t>18</w:t>
      </w:r>
      <w:r w:rsidR="00D53EAB">
        <w:t>,</w:t>
      </w:r>
      <w:r w:rsidR="00C9180E">
        <w:t>072</w:t>
      </w:r>
      <w:r w:rsidR="006005A1">
        <w:t xml:space="preserve"> </w:t>
      </w:r>
      <w:r w:rsidRPr="00CD570A">
        <w:t xml:space="preserve">тыс. руб.). В муниципальных программах Кунашакского муниципального района  утверждены конкретные целевые показатели, достижение которых ожидается по итогам исполнения бюджета. Непрограммные направления деятельности составят </w:t>
      </w:r>
      <w:r w:rsidR="00116F13">
        <w:t>16</w:t>
      </w:r>
      <w:r w:rsidR="00875610" w:rsidRPr="00875610">
        <w:t>1</w:t>
      </w:r>
      <w:r w:rsidR="00875610">
        <w:t> </w:t>
      </w:r>
      <w:r w:rsidR="00875610" w:rsidRPr="00875610">
        <w:t>2</w:t>
      </w:r>
      <w:r w:rsidR="00567B07">
        <w:t>34,128</w:t>
      </w:r>
      <w:r w:rsidR="006005A1">
        <w:t xml:space="preserve"> </w:t>
      </w:r>
      <w:r w:rsidRPr="00CD570A">
        <w:t xml:space="preserve">тыс. руб. или </w:t>
      </w:r>
      <w:r w:rsidR="00567B07">
        <w:t>8</w:t>
      </w:r>
      <w:r w:rsidRPr="00CD570A">
        <w:t>,</w:t>
      </w:r>
      <w:r w:rsidR="00D53EAB">
        <w:t>2</w:t>
      </w:r>
      <w:r w:rsidRPr="00CD570A">
        <w:t>%.</w:t>
      </w:r>
    </w:p>
    <w:p w:rsidR="00CD570A" w:rsidRPr="00CD570A" w:rsidRDefault="00CD570A" w:rsidP="00CD570A">
      <w:pPr>
        <w:pStyle w:val="2"/>
        <w:ind w:right="0"/>
        <w:outlineLvl w:val="9"/>
        <w:rPr>
          <w:sz w:val="24"/>
        </w:rPr>
      </w:pPr>
      <w:r w:rsidRPr="00CD570A">
        <w:rPr>
          <w:color w:val="000000" w:themeColor="text1"/>
          <w:sz w:val="24"/>
        </w:rPr>
        <w:t>Основной объем расходов в 202</w:t>
      </w:r>
      <w:r w:rsidR="00C9180E">
        <w:rPr>
          <w:color w:val="000000" w:themeColor="text1"/>
          <w:sz w:val="24"/>
        </w:rPr>
        <w:t>4</w:t>
      </w:r>
      <w:r w:rsidRPr="00CD570A">
        <w:rPr>
          <w:color w:val="000000" w:themeColor="text1"/>
          <w:sz w:val="24"/>
        </w:rPr>
        <w:t xml:space="preserve"> году и плановом периоде 202</w:t>
      </w:r>
      <w:r w:rsidR="00C9180E">
        <w:rPr>
          <w:color w:val="000000" w:themeColor="text1"/>
          <w:sz w:val="24"/>
        </w:rPr>
        <w:t>5</w:t>
      </w:r>
      <w:r w:rsidRPr="00CD570A">
        <w:rPr>
          <w:color w:val="000000" w:themeColor="text1"/>
          <w:sz w:val="24"/>
        </w:rPr>
        <w:t xml:space="preserve"> и 202</w:t>
      </w:r>
      <w:r w:rsidR="00C9180E">
        <w:rPr>
          <w:color w:val="000000" w:themeColor="text1"/>
          <w:sz w:val="24"/>
        </w:rPr>
        <w:t>6</w:t>
      </w:r>
      <w:r w:rsidRPr="00CD570A">
        <w:rPr>
          <w:color w:val="000000" w:themeColor="text1"/>
          <w:sz w:val="24"/>
        </w:rPr>
        <w:t xml:space="preserve"> годов предусмотрен на финансирование социального блока, куда относятся расходы на образование, культуру, </w:t>
      </w:r>
      <w:r w:rsidR="00A45B1A">
        <w:rPr>
          <w:color w:val="000000" w:themeColor="text1"/>
          <w:sz w:val="24"/>
        </w:rPr>
        <w:t xml:space="preserve">здравоохранение, </w:t>
      </w:r>
      <w:r w:rsidRPr="00CD570A">
        <w:rPr>
          <w:color w:val="000000" w:themeColor="text1"/>
          <w:sz w:val="24"/>
        </w:rPr>
        <w:t>социальную политик</w:t>
      </w:r>
      <w:bookmarkStart w:id="0" w:name="_GoBack"/>
      <w:bookmarkEnd w:id="0"/>
      <w:r w:rsidRPr="00CD570A">
        <w:rPr>
          <w:color w:val="000000" w:themeColor="text1"/>
          <w:sz w:val="24"/>
        </w:rPr>
        <w:t>у, физическую культуру и спорт. Доля расходов социальной направленности в 202</w:t>
      </w:r>
      <w:r w:rsidR="00D557D3">
        <w:rPr>
          <w:color w:val="000000" w:themeColor="text1"/>
          <w:sz w:val="24"/>
        </w:rPr>
        <w:t>4</w:t>
      </w:r>
      <w:r w:rsidRPr="00CD570A">
        <w:rPr>
          <w:color w:val="000000" w:themeColor="text1"/>
          <w:sz w:val="24"/>
        </w:rPr>
        <w:t xml:space="preserve"> году б</w:t>
      </w:r>
      <w:r w:rsidRPr="00CD570A">
        <w:rPr>
          <w:sz w:val="24"/>
        </w:rPr>
        <w:t xml:space="preserve">олее </w:t>
      </w:r>
      <w:r w:rsidR="00D557D3">
        <w:rPr>
          <w:sz w:val="24"/>
        </w:rPr>
        <w:t>80,5</w:t>
      </w:r>
      <w:r w:rsidR="001C3C3B">
        <w:rPr>
          <w:sz w:val="24"/>
        </w:rPr>
        <w:t xml:space="preserve"> </w:t>
      </w:r>
      <w:r w:rsidRPr="00CD570A">
        <w:rPr>
          <w:sz w:val="24"/>
        </w:rPr>
        <w:t xml:space="preserve">% </w:t>
      </w:r>
      <w:r>
        <w:rPr>
          <w:sz w:val="24"/>
        </w:rPr>
        <w:t xml:space="preserve"> </w:t>
      </w:r>
      <w:r w:rsidRPr="00CD570A">
        <w:rPr>
          <w:sz w:val="24"/>
        </w:rPr>
        <w:t>(</w:t>
      </w:r>
      <w:r w:rsidR="00D557D3">
        <w:rPr>
          <w:sz w:val="24"/>
        </w:rPr>
        <w:t>1 579 </w:t>
      </w:r>
      <w:r w:rsidR="0017120C" w:rsidRPr="0017120C">
        <w:rPr>
          <w:sz w:val="24"/>
        </w:rPr>
        <w:t>1</w:t>
      </w:r>
      <w:r w:rsidR="00D557D3">
        <w:rPr>
          <w:sz w:val="24"/>
        </w:rPr>
        <w:t>91,456</w:t>
      </w:r>
      <w:r w:rsidRPr="00CD570A">
        <w:rPr>
          <w:sz w:val="24"/>
        </w:rPr>
        <w:t xml:space="preserve"> тыс. руб.).</w:t>
      </w:r>
    </w:p>
    <w:p w:rsidR="00CD570A" w:rsidRPr="00CD570A" w:rsidRDefault="00CD570A" w:rsidP="00CD570A">
      <w:pPr>
        <w:pStyle w:val="2"/>
        <w:ind w:right="0"/>
        <w:outlineLvl w:val="9"/>
        <w:rPr>
          <w:sz w:val="24"/>
        </w:rPr>
      </w:pPr>
    </w:p>
    <w:p w:rsidR="00CD570A" w:rsidRPr="00CD570A" w:rsidRDefault="00CD570A" w:rsidP="00CD570A">
      <w:pPr>
        <w:pStyle w:val="a6"/>
        <w:spacing w:before="0" w:beforeAutospacing="0" w:after="0" w:afterAutospacing="0"/>
        <w:ind w:firstLine="720"/>
        <w:jc w:val="both"/>
      </w:pPr>
      <w:r w:rsidRPr="00CD570A">
        <w:t xml:space="preserve">Расходы бюджета, касающиеся </w:t>
      </w:r>
      <w:r>
        <w:t>социал</w:t>
      </w:r>
      <w:r w:rsidRPr="00CD570A">
        <w:t xml:space="preserve">ьного блока </w:t>
      </w:r>
      <w:r w:rsidRPr="00CD570A">
        <w:rPr>
          <w:b/>
        </w:rPr>
        <w:t>«Образование»</w:t>
      </w:r>
      <w:r w:rsidRPr="00CD570A">
        <w:t xml:space="preserve"> </w:t>
      </w:r>
      <w:r>
        <w:t>на 202</w:t>
      </w:r>
      <w:r w:rsidR="00D557D3">
        <w:t>4</w:t>
      </w:r>
      <w:r>
        <w:t xml:space="preserve"> год </w:t>
      </w:r>
      <w:r w:rsidRPr="00CD570A">
        <w:t xml:space="preserve">составили </w:t>
      </w:r>
      <w:r w:rsidR="00D557D3">
        <w:t>770 </w:t>
      </w:r>
      <w:r w:rsidR="0017120C" w:rsidRPr="0017120C">
        <w:t>2</w:t>
      </w:r>
      <w:r w:rsidR="00D557D3">
        <w:t>59,422</w:t>
      </w:r>
      <w:r w:rsidR="001C3C3B">
        <w:t xml:space="preserve"> </w:t>
      </w:r>
      <w:r w:rsidRPr="00CD570A">
        <w:t>тыс. рублей. Главной задачей этого блока является 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Челябинской области и Кунашакского муниципального района. Более половины этих средств переданы в виде трансфертов из областного бюджета на выполнение полномочий субъекта в сфере образования.</w:t>
      </w:r>
    </w:p>
    <w:p w:rsidR="00CD570A" w:rsidRPr="00CD570A" w:rsidRDefault="00CD570A" w:rsidP="00A979C1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CD570A">
        <w:t xml:space="preserve">Расходы </w:t>
      </w:r>
      <w:r w:rsidR="00A979C1">
        <w:t xml:space="preserve">по разделу </w:t>
      </w:r>
      <w:r w:rsidR="00A979C1" w:rsidRPr="00A979C1">
        <w:rPr>
          <w:b/>
        </w:rPr>
        <w:t>«Культура»</w:t>
      </w:r>
      <w:r w:rsidR="00A979C1">
        <w:t xml:space="preserve"> </w:t>
      </w:r>
      <w:r w:rsidRPr="00CD570A">
        <w:t>на 202</w:t>
      </w:r>
      <w:r w:rsidR="00D557D3">
        <w:t>4</w:t>
      </w:r>
      <w:r w:rsidRPr="00CD570A">
        <w:t xml:space="preserve"> год составят </w:t>
      </w:r>
      <w:r w:rsidR="00D557D3">
        <w:t>102 223,084</w:t>
      </w:r>
      <w:r w:rsidR="00A979C1">
        <w:t xml:space="preserve"> </w:t>
      </w:r>
      <w:r w:rsidRPr="00CD570A">
        <w:t>тыс. рублей</w:t>
      </w:r>
      <w:r w:rsidR="00A979C1">
        <w:t>.</w:t>
      </w:r>
      <w:r w:rsidRPr="00CD570A">
        <w:t xml:space="preserve"> </w:t>
      </w:r>
      <w:r w:rsidR="00972372">
        <w:t xml:space="preserve">И будут направлены </w:t>
      </w:r>
      <w:proofErr w:type="gramStart"/>
      <w:r w:rsidR="00972372">
        <w:t>на</w:t>
      </w:r>
      <w:proofErr w:type="gramEnd"/>
      <w:r w:rsidR="00A979C1">
        <w:t>:</w:t>
      </w:r>
      <w:r w:rsidRPr="00CD570A">
        <w:rPr>
          <w:color w:val="000000" w:themeColor="text1"/>
        </w:rPr>
        <w:t xml:space="preserve"> </w:t>
      </w:r>
    </w:p>
    <w:p w:rsidR="00CD570A" w:rsidRPr="00CD570A" w:rsidRDefault="00CD570A" w:rsidP="00CD570A">
      <w:pPr>
        <w:pStyle w:val="2"/>
        <w:ind w:right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>- содействие социальному, культурному, духовному и физическому развитию молодежи.</w:t>
      </w:r>
    </w:p>
    <w:p w:rsidR="00CD570A" w:rsidRPr="00CD570A" w:rsidRDefault="00CD570A" w:rsidP="00CD570A">
      <w:pPr>
        <w:pStyle w:val="a6"/>
        <w:spacing w:before="0" w:beforeAutospacing="0" w:after="0" w:afterAutospacing="0"/>
        <w:ind w:firstLine="720"/>
        <w:jc w:val="both"/>
      </w:pPr>
      <w:r w:rsidRPr="00CD570A">
        <w:t>- оснащение объектов культуры;</w:t>
      </w:r>
    </w:p>
    <w:p w:rsidR="00CD570A" w:rsidRPr="00CD570A" w:rsidRDefault="00CD570A" w:rsidP="00CD570A">
      <w:pPr>
        <w:pStyle w:val="a6"/>
        <w:spacing w:before="0" w:beforeAutospacing="0" w:after="0" w:afterAutospacing="0"/>
        <w:ind w:firstLine="720"/>
        <w:jc w:val="both"/>
      </w:pPr>
      <w:r w:rsidRPr="00CD570A">
        <w:t>- создание и модернизацию учреждений культурно-досугового типа.</w:t>
      </w:r>
    </w:p>
    <w:p w:rsidR="00CD570A" w:rsidRPr="00CD570A" w:rsidRDefault="00CD570A" w:rsidP="00CD570A">
      <w:pPr>
        <w:pStyle w:val="a6"/>
        <w:spacing w:before="0" w:beforeAutospacing="0" w:after="0" w:afterAutospacing="0"/>
        <w:ind w:firstLine="708"/>
        <w:jc w:val="both"/>
      </w:pPr>
    </w:p>
    <w:p w:rsidR="00CD570A" w:rsidRDefault="00CD570A" w:rsidP="00CD570A">
      <w:pPr>
        <w:pStyle w:val="2"/>
        <w:tabs>
          <w:tab w:val="left" w:pos="993"/>
        </w:tabs>
        <w:ind w:right="0"/>
        <w:outlineLvl w:val="9"/>
        <w:rPr>
          <w:sz w:val="24"/>
        </w:rPr>
      </w:pPr>
      <w:r w:rsidRPr="00CD570A">
        <w:rPr>
          <w:sz w:val="24"/>
        </w:rPr>
        <w:t xml:space="preserve">Расходы по разделу </w:t>
      </w:r>
      <w:r w:rsidRPr="00A979C1">
        <w:rPr>
          <w:b/>
          <w:sz w:val="24"/>
        </w:rPr>
        <w:t>«Физическая культура и спорт»</w:t>
      </w:r>
      <w:r w:rsidRPr="00CD570A">
        <w:rPr>
          <w:sz w:val="24"/>
        </w:rPr>
        <w:t xml:space="preserve"> составят в 202</w:t>
      </w:r>
      <w:r w:rsidR="00D557D3">
        <w:rPr>
          <w:sz w:val="24"/>
        </w:rPr>
        <w:t>4</w:t>
      </w:r>
      <w:r w:rsidRPr="00CD570A">
        <w:rPr>
          <w:sz w:val="24"/>
        </w:rPr>
        <w:t xml:space="preserve"> году </w:t>
      </w:r>
      <w:r w:rsidR="00D557D3">
        <w:rPr>
          <w:sz w:val="24"/>
        </w:rPr>
        <w:t>385 070,492</w:t>
      </w:r>
      <w:r w:rsidRPr="00CD570A">
        <w:rPr>
          <w:sz w:val="24"/>
        </w:rPr>
        <w:t xml:space="preserve"> тыс.</w:t>
      </w:r>
      <w:r w:rsidR="00A979C1">
        <w:rPr>
          <w:sz w:val="24"/>
        </w:rPr>
        <w:t xml:space="preserve"> </w:t>
      </w:r>
      <w:r w:rsidRPr="00CD570A">
        <w:rPr>
          <w:sz w:val="24"/>
        </w:rPr>
        <w:t xml:space="preserve">рублей, основные расходы будут направлены </w:t>
      </w:r>
      <w:proofErr w:type="gramStart"/>
      <w:r w:rsidRPr="00CD570A">
        <w:rPr>
          <w:sz w:val="24"/>
        </w:rPr>
        <w:t>на</w:t>
      </w:r>
      <w:proofErr w:type="gramEnd"/>
      <w:r w:rsidRPr="00CD570A">
        <w:rPr>
          <w:sz w:val="24"/>
        </w:rPr>
        <w:t>:</w:t>
      </w:r>
    </w:p>
    <w:p w:rsidR="00D557D3" w:rsidRPr="00CD570A" w:rsidRDefault="00D557D3" w:rsidP="00CD570A">
      <w:pPr>
        <w:pStyle w:val="2"/>
        <w:tabs>
          <w:tab w:val="left" w:pos="993"/>
        </w:tabs>
        <w:ind w:right="0"/>
        <w:outlineLvl w:val="9"/>
        <w:rPr>
          <w:color w:val="000000" w:themeColor="text1"/>
          <w:sz w:val="24"/>
        </w:rPr>
      </w:pPr>
      <w:r>
        <w:rPr>
          <w:sz w:val="24"/>
        </w:rPr>
        <w:t>-строительство ледовой арены;</w:t>
      </w:r>
    </w:p>
    <w:p w:rsidR="00CD570A" w:rsidRPr="00CD570A" w:rsidRDefault="00CD570A" w:rsidP="00CD570A">
      <w:pPr>
        <w:pStyle w:val="2"/>
        <w:tabs>
          <w:tab w:val="left" w:pos="993"/>
        </w:tabs>
        <w:ind w:left="709" w:right="0" w:firstLine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 xml:space="preserve">- вовлечение населения в систематические занятия физической культурой и спортом, в том числе лиц с ограниченными возможностями здоровья; </w:t>
      </w:r>
    </w:p>
    <w:p w:rsidR="00CD570A" w:rsidRPr="00CD570A" w:rsidRDefault="00CD570A" w:rsidP="00CD570A">
      <w:pPr>
        <w:pStyle w:val="2"/>
        <w:tabs>
          <w:tab w:val="left" w:pos="993"/>
        </w:tabs>
        <w:ind w:left="709" w:right="0" w:firstLine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>- обеспечение развития массового спорта и физкультурно-оздоровительного движения;</w:t>
      </w:r>
    </w:p>
    <w:p w:rsidR="00CD570A" w:rsidRPr="00CD570A" w:rsidRDefault="00CD570A" w:rsidP="00CD570A">
      <w:pPr>
        <w:pStyle w:val="2"/>
        <w:tabs>
          <w:tab w:val="left" w:pos="993"/>
        </w:tabs>
        <w:ind w:left="709" w:right="0" w:firstLine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>- совершенствование системы физического воспитания и формирования здорового образа жизни населения Кунашакского муниципального района;</w:t>
      </w:r>
    </w:p>
    <w:p w:rsidR="00CD570A" w:rsidRPr="00CD570A" w:rsidRDefault="00CD570A" w:rsidP="00CD570A">
      <w:pPr>
        <w:pStyle w:val="a6"/>
        <w:spacing w:before="0" w:beforeAutospacing="0" w:after="0" w:afterAutospacing="0"/>
        <w:jc w:val="both"/>
      </w:pPr>
    </w:p>
    <w:p w:rsidR="00CD570A" w:rsidRDefault="00CD570A" w:rsidP="00CD570A">
      <w:pPr>
        <w:pStyle w:val="a6"/>
        <w:spacing w:before="0" w:beforeAutospacing="0" w:after="0" w:afterAutospacing="0"/>
        <w:ind w:firstLine="720"/>
        <w:jc w:val="both"/>
      </w:pPr>
      <w:r w:rsidRPr="00CD570A">
        <w:lastRenderedPageBreak/>
        <w:t xml:space="preserve">Финансирование по разделу </w:t>
      </w:r>
      <w:r w:rsidRPr="00CD570A">
        <w:rPr>
          <w:b/>
        </w:rPr>
        <w:t xml:space="preserve">«Социальная политика» </w:t>
      </w:r>
      <w:r w:rsidRPr="00CD570A">
        <w:t xml:space="preserve">предусмотрено в объеме </w:t>
      </w:r>
      <w:r w:rsidR="00D557D3">
        <w:t>320 651,858</w:t>
      </w:r>
      <w:r w:rsidRPr="00CD570A">
        <w:t xml:space="preserve">  тыс. рублей. </w:t>
      </w:r>
    </w:p>
    <w:p w:rsidR="00CD570A" w:rsidRPr="00CD570A" w:rsidRDefault="00972372" w:rsidP="00A979C1">
      <w:pPr>
        <w:pStyle w:val="a6"/>
        <w:spacing w:before="0" w:beforeAutospacing="0" w:after="0" w:afterAutospacing="0"/>
        <w:ind w:firstLine="720"/>
        <w:jc w:val="both"/>
        <w:rPr>
          <w:color w:val="000000" w:themeColor="text1"/>
        </w:rPr>
      </w:pPr>
      <w:r>
        <w:t>Это, такие расходы, как</w:t>
      </w:r>
      <w:r w:rsidR="00A979C1">
        <w:t xml:space="preserve"> в</w:t>
      </w:r>
      <w:r w:rsidR="00CD570A" w:rsidRPr="00CD570A">
        <w:rPr>
          <w:color w:val="000000" w:themeColor="text1"/>
        </w:rPr>
        <w:t>ыплаты отдельным категориям граждан (</w:t>
      </w:r>
      <w:r w:rsidR="00A979C1">
        <w:rPr>
          <w:color w:val="000000" w:themeColor="text1"/>
        </w:rPr>
        <w:t>дети-сироты, Ветераны т</w:t>
      </w:r>
      <w:r w:rsidR="00CD570A" w:rsidRPr="00CD570A">
        <w:rPr>
          <w:color w:val="000000" w:themeColor="text1"/>
        </w:rPr>
        <w:t>руда</w:t>
      </w:r>
      <w:r w:rsidR="00A979C1">
        <w:rPr>
          <w:color w:val="000000" w:themeColor="text1"/>
        </w:rPr>
        <w:t xml:space="preserve"> и </w:t>
      </w:r>
      <w:r w:rsidR="00A979C1" w:rsidRPr="00CD570A">
        <w:rPr>
          <w:color w:val="000000" w:themeColor="text1"/>
        </w:rPr>
        <w:t>труженики</w:t>
      </w:r>
      <w:r w:rsidR="00CD570A" w:rsidRPr="00CD570A">
        <w:rPr>
          <w:color w:val="000000" w:themeColor="text1"/>
        </w:rPr>
        <w:t xml:space="preserve"> тыла и другие льготные категории населения (малоимущие граждане, граждане, нуждающиеся в социальном обслуживании)) в соответствии с Законами Челябинской области и нормативными актами Кунашакского муниципального района.</w:t>
      </w:r>
    </w:p>
    <w:p w:rsidR="00CD570A" w:rsidRPr="00CD570A" w:rsidRDefault="00CD570A" w:rsidP="00CD570A">
      <w:pPr>
        <w:pStyle w:val="2"/>
        <w:ind w:right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>Все установленные на уровне области и района льготы и выплаты сохранены и проиндексированы.</w:t>
      </w:r>
    </w:p>
    <w:p w:rsidR="00CD570A" w:rsidRPr="00CD570A" w:rsidRDefault="00CD570A" w:rsidP="00CD570A">
      <w:pPr>
        <w:pStyle w:val="Default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CD570A" w:rsidRPr="00CD570A" w:rsidRDefault="00CD570A" w:rsidP="00A979C1">
      <w:pPr>
        <w:pStyle w:val="a6"/>
        <w:spacing w:before="0" w:beforeAutospacing="0" w:after="0" w:afterAutospacing="0"/>
        <w:ind w:firstLine="720"/>
        <w:jc w:val="both"/>
      </w:pPr>
      <w:r w:rsidRPr="00CD570A">
        <w:t>Общая сумма средств, выделенных на «</w:t>
      </w:r>
      <w:r w:rsidRPr="00CD570A">
        <w:rPr>
          <w:b/>
        </w:rPr>
        <w:t xml:space="preserve">Жилищно-коммунальное хозяйство» </w:t>
      </w:r>
      <w:r w:rsidRPr="00CD570A">
        <w:t>в 202</w:t>
      </w:r>
      <w:r w:rsidR="00D557D3">
        <w:t>4</w:t>
      </w:r>
      <w:r w:rsidRPr="00CD570A">
        <w:t xml:space="preserve"> году составит </w:t>
      </w:r>
      <w:r w:rsidR="00D557D3">
        <w:t>69 544,942</w:t>
      </w:r>
      <w:r w:rsidR="00A979C1">
        <w:t xml:space="preserve"> </w:t>
      </w:r>
      <w:r w:rsidRPr="00CD570A">
        <w:t xml:space="preserve">тыс. рублей, которые </w:t>
      </w:r>
      <w:r w:rsidR="00A979C1">
        <w:t>предусмотрены на м</w:t>
      </w:r>
      <w:r w:rsidRPr="00CD570A">
        <w:rPr>
          <w:color w:val="000000" w:themeColor="text1"/>
        </w:rPr>
        <w:t xml:space="preserve">ероприятия </w:t>
      </w:r>
      <w:r w:rsidR="00D557D3">
        <w:rPr>
          <w:color w:val="000000" w:themeColor="text1"/>
        </w:rPr>
        <w:t>по благоустройству в области жилищно-коммунального</w:t>
      </w:r>
      <w:r w:rsidR="00445DAC">
        <w:rPr>
          <w:color w:val="000000" w:themeColor="text1"/>
        </w:rPr>
        <w:t xml:space="preserve"> хозяйства,</w:t>
      </w:r>
      <w:r w:rsidR="00A979C1">
        <w:rPr>
          <w:color w:val="000000" w:themeColor="text1"/>
        </w:rPr>
        <w:t xml:space="preserve"> на р</w:t>
      </w:r>
      <w:r w:rsidR="00A979C1">
        <w:t>еализацию проекта «</w:t>
      </w:r>
      <w:r w:rsidRPr="00CD570A">
        <w:t>Формирование комфортной городской среды</w:t>
      </w:r>
      <w:r w:rsidR="00A979C1">
        <w:t>»</w:t>
      </w:r>
      <w:r w:rsidRPr="00CD570A">
        <w:t>.</w:t>
      </w:r>
    </w:p>
    <w:p w:rsidR="00CD570A" w:rsidRPr="00CD570A" w:rsidRDefault="00CD570A" w:rsidP="00CD570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CD570A" w:rsidRPr="00CD570A" w:rsidRDefault="00CD570A" w:rsidP="00CD570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CD570A">
        <w:rPr>
          <w:rFonts w:ascii="Times New Roman" w:hAnsi="Times New Roman" w:cs="Times New Roman"/>
          <w:color w:val="auto"/>
        </w:rPr>
        <w:t xml:space="preserve">Финансирование по разделу </w:t>
      </w:r>
      <w:r w:rsidRPr="00CD570A">
        <w:rPr>
          <w:rFonts w:ascii="Times New Roman" w:hAnsi="Times New Roman" w:cs="Times New Roman"/>
          <w:b/>
          <w:color w:val="auto"/>
        </w:rPr>
        <w:t>«Национальная экономика»</w:t>
      </w:r>
      <w:r w:rsidRPr="00CD570A">
        <w:rPr>
          <w:rFonts w:ascii="Times New Roman" w:hAnsi="Times New Roman" w:cs="Times New Roman"/>
          <w:color w:val="auto"/>
        </w:rPr>
        <w:t xml:space="preserve"> запланировано в сумме </w:t>
      </w:r>
      <w:r w:rsidR="00445DAC">
        <w:rPr>
          <w:rFonts w:ascii="Times New Roman" w:hAnsi="Times New Roman" w:cs="Times New Roman"/>
          <w:color w:val="auto"/>
        </w:rPr>
        <w:t>108 333,167</w:t>
      </w:r>
      <w:r w:rsidRPr="00CD570A">
        <w:rPr>
          <w:rFonts w:ascii="Times New Roman" w:hAnsi="Times New Roman" w:cs="Times New Roman"/>
          <w:color w:val="auto"/>
        </w:rPr>
        <w:t xml:space="preserve"> тыс. рублей</w:t>
      </w:r>
      <w:r w:rsidR="00A979C1">
        <w:rPr>
          <w:rFonts w:ascii="Times New Roman" w:hAnsi="Times New Roman" w:cs="Times New Roman"/>
          <w:color w:val="auto"/>
        </w:rPr>
        <w:t>.</w:t>
      </w:r>
      <w:r w:rsidRPr="00CD570A">
        <w:rPr>
          <w:rFonts w:ascii="Times New Roman" w:hAnsi="Times New Roman" w:cs="Times New Roman"/>
          <w:color w:val="auto"/>
        </w:rPr>
        <w:t xml:space="preserve"> Наибольший удельный вес </w:t>
      </w:r>
      <w:r w:rsidR="00A979C1">
        <w:rPr>
          <w:rFonts w:ascii="Times New Roman" w:hAnsi="Times New Roman" w:cs="Times New Roman"/>
          <w:color w:val="auto"/>
        </w:rPr>
        <w:t>по этому разделу занимаю</w:t>
      </w:r>
      <w:r w:rsidRPr="00CD570A">
        <w:rPr>
          <w:rFonts w:ascii="Times New Roman" w:hAnsi="Times New Roman" w:cs="Times New Roman"/>
          <w:color w:val="auto"/>
        </w:rPr>
        <w:t>т р</w:t>
      </w:r>
      <w:r w:rsidRPr="00CD570A">
        <w:rPr>
          <w:rFonts w:ascii="Times New Roman" w:hAnsi="Times New Roman" w:cs="Times New Roman"/>
        </w:rPr>
        <w:t xml:space="preserve">асходы на </w:t>
      </w:r>
      <w:r w:rsidRPr="00A979C1">
        <w:rPr>
          <w:rFonts w:ascii="Times New Roman" w:hAnsi="Times New Roman" w:cs="Times New Roman"/>
        </w:rPr>
        <w:t>«Дорожное хозяйство»</w:t>
      </w:r>
      <w:r w:rsidR="00A979C1">
        <w:rPr>
          <w:rFonts w:ascii="Times New Roman" w:hAnsi="Times New Roman" w:cs="Times New Roman"/>
          <w:b/>
        </w:rPr>
        <w:t xml:space="preserve"> -</w:t>
      </w:r>
      <w:r w:rsidRPr="00CD570A">
        <w:rPr>
          <w:rFonts w:ascii="Times New Roman" w:hAnsi="Times New Roman" w:cs="Times New Roman"/>
        </w:rPr>
        <w:t xml:space="preserve"> составят </w:t>
      </w:r>
      <w:r w:rsidR="00445DAC">
        <w:rPr>
          <w:rFonts w:ascii="Times New Roman" w:hAnsi="Times New Roman" w:cs="Times New Roman"/>
        </w:rPr>
        <w:t>102 043,900</w:t>
      </w:r>
      <w:r w:rsidR="00A979C1">
        <w:rPr>
          <w:rFonts w:ascii="Times New Roman" w:hAnsi="Times New Roman" w:cs="Times New Roman"/>
        </w:rPr>
        <w:t xml:space="preserve"> тыс. рублей</w:t>
      </w:r>
      <w:r w:rsidRPr="00CD570A">
        <w:rPr>
          <w:rFonts w:ascii="Times New Roman" w:hAnsi="Times New Roman" w:cs="Times New Roman"/>
        </w:rPr>
        <w:t xml:space="preserve">. Основные расходы связаны с ремонтом, содержанием и приведением дорог района к нормативному состоянию, </w:t>
      </w:r>
      <w:r w:rsidRPr="00CD570A">
        <w:rPr>
          <w:rFonts w:ascii="Times New Roman" w:hAnsi="Times New Roman" w:cs="Times New Roman"/>
          <w:color w:val="000000" w:themeColor="text1"/>
        </w:rPr>
        <w:t>на обеспечение безопасных условий движения на дорогах, предупреждение опасного поведения на дорогах.</w:t>
      </w:r>
    </w:p>
    <w:p w:rsidR="00CD570A" w:rsidRPr="00CD570A" w:rsidRDefault="00CD570A" w:rsidP="00CD570A">
      <w:pPr>
        <w:pStyle w:val="a6"/>
        <w:spacing w:before="0" w:beforeAutospacing="0" w:after="0" w:afterAutospacing="0"/>
        <w:ind w:firstLine="720"/>
        <w:jc w:val="both"/>
        <w:rPr>
          <w:highlight w:val="yellow"/>
        </w:rPr>
      </w:pPr>
    </w:p>
    <w:p w:rsidR="00CD570A" w:rsidRPr="00CD570A" w:rsidRDefault="00CD570A" w:rsidP="00CD570A">
      <w:pPr>
        <w:pStyle w:val="a6"/>
        <w:spacing w:before="0" w:beforeAutospacing="0" w:after="0" w:afterAutospacing="0"/>
        <w:ind w:firstLine="720"/>
        <w:jc w:val="both"/>
      </w:pPr>
      <w:r w:rsidRPr="00CD570A">
        <w:t xml:space="preserve">Расходы по разделу </w:t>
      </w:r>
      <w:r w:rsidRPr="00CD570A">
        <w:rPr>
          <w:b/>
        </w:rPr>
        <w:t>«Охрана окружающей среды»</w:t>
      </w:r>
      <w:r w:rsidRPr="00CD570A">
        <w:t xml:space="preserve"> составят </w:t>
      </w:r>
      <w:r w:rsidR="008834A9">
        <w:t>36 362,120</w:t>
      </w:r>
      <w:r w:rsidR="00A979C1">
        <w:t xml:space="preserve"> </w:t>
      </w:r>
      <w:r w:rsidRPr="00CD570A">
        <w:t>тыс. руб</w:t>
      </w:r>
      <w:r w:rsidR="00A979C1">
        <w:t>лей</w:t>
      </w:r>
      <w:r w:rsidRPr="00CD570A">
        <w:t xml:space="preserve">, которые предусмотрены </w:t>
      </w:r>
      <w:proofErr w:type="gramStart"/>
      <w:r w:rsidRPr="00CD570A">
        <w:t>на</w:t>
      </w:r>
      <w:proofErr w:type="gramEnd"/>
      <w:r w:rsidRPr="00CD570A">
        <w:t>:</w:t>
      </w:r>
    </w:p>
    <w:p w:rsidR="00CD570A" w:rsidRPr="00CD570A" w:rsidRDefault="00CD570A" w:rsidP="00CD570A">
      <w:pPr>
        <w:pStyle w:val="a6"/>
        <w:spacing w:before="0" w:beforeAutospacing="0" w:after="0" w:afterAutospacing="0"/>
        <w:ind w:firstLine="720"/>
        <w:jc w:val="both"/>
      </w:pPr>
      <w:r w:rsidRPr="00CD570A">
        <w:t>- Рекультивацию земельных участков, нарушенных размещением твердых коммунальных отходов, и ликвидацию объектов накопленного экологического вреда;</w:t>
      </w:r>
    </w:p>
    <w:p w:rsidR="00CD570A" w:rsidRPr="00CD570A" w:rsidRDefault="00CD570A" w:rsidP="00CD570A">
      <w:pPr>
        <w:pStyle w:val="a6"/>
        <w:spacing w:before="0" w:beforeAutospacing="0" w:after="0" w:afterAutospacing="0"/>
        <w:ind w:firstLine="720"/>
        <w:jc w:val="both"/>
      </w:pPr>
      <w:r w:rsidRPr="00CD570A">
        <w:t>- На ликвидацию несанкционированных свалок отходов;</w:t>
      </w:r>
    </w:p>
    <w:p w:rsidR="00CD570A" w:rsidRPr="00CD570A" w:rsidRDefault="00CD570A" w:rsidP="00CD570A">
      <w:pPr>
        <w:pStyle w:val="a6"/>
        <w:spacing w:before="0" w:beforeAutospacing="0" w:after="0" w:afterAutospacing="0"/>
        <w:ind w:firstLine="720"/>
        <w:jc w:val="both"/>
      </w:pPr>
      <w:r w:rsidRPr="00CD570A">
        <w:t>- Создание и содержание мест накопленных твердых коммунальных отходов.</w:t>
      </w:r>
    </w:p>
    <w:p w:rsidR="00CD570A" w:rsidRPr="00CD570A" w:rsidRDefault="00CD570A" w:rsidP="00CD570A">
      <w:pPr>
        <w:pStyle w:val="a6"/>
        <w:spacing w:before="0" w:beforeAutospacing="0" w:after="0" w:afterAutospacing="0"/>
        <w:ind w:firstLine="708"/>
        <w:jc w:val="both"/>
        <w:rPr>
          <w:highlight w:val="yellow"/>
        </w:rPr>
      </w:pPr>
    </w:p>
    <w:p w:rsidR="00CD570A" w:rsidRPr="00CD570A" w:rsidRDefault="00CD570A" w:rsidP="00CD570A">
      <w:pPr>
        <w:pStyle w:val="a6"/>
        <w:spacing w:before="0" w:beforeAutospacing="0" w:after="0" w:afterAutospacing="0"/>
        <w:ind w:firstLine="708"/>
        <w:jc w:val="both"/>
      </w:pPr>
      <w:r w:rsidRPr="00CD570A">
        <w:t>Финансовые взаимоотношения районного бюджета и бюджетов сельских поселений на 202</w:t>
      </w:r>
      <w:r w:rsidR="003F71D5">
        <w:t>4</w:t>
      </w:r>
      <w:r w:rsidRPr="00CD570A">
        <w:t xml:space="preserve"> год сформированы исходя из необходимости и в соответствии с внесенными изменениями в 131-ФЗ:</w:t>
      </w:r>
    </w:p>
    <w:p w:rsidR="00CD570A" w:rsidRPr="00CD570A" w:rsidRDefault="00CD570A" w:rsidP="00CD570A">
      <w:pPr>
        <w:pStyle w:val="a6"/>
        <w:spacing w:before="0" w:beforeAutospacing="0" w:after="0" w:afterAutospacing="0"/>
        <w:ind w:firstLine="720"/>
        <w:jc w:val="both"/>
      </w:pPr>
      <w:r w:rsidRPr="00CD570A">
        <w:t>1) обеспечения финансовой устойчивости бюджетов сельских поселений</w:t>
      </w:r>
    </w:p>
    <w:p w:rsidR="00CD570A" w:rsidRPr="00CD570A" w:rsidRDefault="00CD570A" w:rsidP="00CD570A">
      <w:pPr>
        <w:pStyle w:val="ibc"/>
        <w:spacing w:before="0" w:beforeAutospacing="0" w:after="0" w:afterAutospacing="0"/>
        <w:ind w:firstLine="720"/>
        <w:jc w:val="both"/>
        <w:rPr>
          <w:b w:val="0"/>
          <w:bCs w:val="0"/>
          <w:i w:val="0"/>
          <w:iCs w:val="0"/>
        </w:rPr>
      </w:pPr>
      <w:r w:rsidRPr="00CD570A">
        <w:rPr>
          <w:b w:val="0"/>
          <w:bCs w:val="0"/>
          <w:i w:val="0"/>
          <w:iCs w:val="0"/>
        </w:rPr>
        <w:t>2) повышения заинтересованности в увеличении собственных доходов бюджетов сельских поселений</w:t>
      </w:r>
    </w:p>
    <w:p w:rsidR="00CD570A" w:rsidRPr="00CD570A" w:rsidRDefault="00CD570A" w:rsidP="00CD570A">
      <w:pPr>
        <w:pStyle w:val="ibc"/>
        <w:spacing w:before="0" w:beforeAutospacing="0" w:after="0" w:afterAutospacing="0"/>
        <w:ind w:firstLine="720"/>
        <w:jc w:val="both"/>
        <w:rPr>
          <w:b w:val="0"/>
          <w:bCs w:val="0"/>
          <w:i w:val="0"/>
          <w:iCs w:val="0"/>
        </w:rPr>
      </w:pPr>
      <w:r w:rsidRPr="00CD570A">
        <w:rPr>
          <w:b w:val="0"/>
          <w:bCs w:val="0"/>
          <w:i w:val="0"/>
          <w:iCs w:val="0"/>
        </w:rPr>
        <w:t>3) стимулирования повышения качества управления бюджетным процессом в сельских поселениях.</w:t>
      </w:r>
    </w:p>
    <w:p w:rsidR="00CD570A" w:rsidRPr="00CD570A" w:rsidRDefault="00CD570A" w:rsidP="00CD570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CD570A">
        <w:rPr>
          <w:rFonts w:ascii="Times New Roman" w:hAnsi="Times New Roman" w:cs="Times New Roman"/>
          <w:color w:val="auto"/>
        </w:rPr>
        <w:t>В 202</w:t>
      </w:r>
      <w:r w:rsidR="003F71D5">
        <w:rPr>
          <w:rFonts w:ascii="Times New Roman" w:hAnsi="Times New Roman" w:cs="Times New Roman"/>
          <w:color w:val="auto"/>
        </w:rPr>
        <w:t>4</w:t>
      </w:r>
      <w:r w:rsidRPr="00CD570A">
        <w:rPr>
          <w:rFonts w:ascii="Times New Roman" w:hAnsi="Times New Roman" w:cs="Times New Roman"/>
          <w:color w:val="auto"/>
        </w:rPr>
        <w:t xml:space="preserve"> году объем </w:t>
      </w:r>
      <w:r w:rsidRPr="00CD570A">
        <w:rPr>
          <w:rFonts w:ascii="Times New Roman" w:hAnsi="Times New Roman" w:cs="Times New Roman"/>
          <w:bCs/>
          <w:color w:val="auto"/>
        </w:rPr>
        <w:t>финансовой поддержки территорий</w:t>
      </w:r>
      <w:r w:rsidRPr="00CD570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CD570A">
        <w:rPr>
          <w:rFonts w:ascii="Times New Roman" w:hAnsi="Times New Roman" w:cs="Times New Roman"/>
          <w:color w:val="auto"/>
        </w:rPr>
        <w:t xml:space="preserve">из районного бюджета по этому направлению составит </w:t>
      </w:r>
      <w:r w:rsidR="003F71D5">
        <w:rPr>
          <w:rFonts w:ascii="Times New Roman" w:hAnsi="Times New Roman" w:cs="Times New Roman"/>
          <w:color w:val="auto"/>
        </w:rPr>
        <w:t>51 </w:t>
      </w:r>
      <w:r w:rsidR="0017120C" w:rsidRPr="0017120C">
        <w:rPr>
          <w:rFonts w:ascii="Times New Roman" w:hAnsi="Times New Roman" w:cs="Times New Roman"/>
          <w:color w:val="auto"/>
        </w:rPr>
        <w:t>5</w:t>
      </w:r>
      <w:r w:rsidR="003F71D5">
        <w:rPr>
          <w:rFonts w:ascii="Times New Roman" w:hAnsi="Times New Roman" w:cs="Times New Roman"/>
          <w:color w:val="auto"/>
        </w:rPr>
        <w:t>31,620</w:t>
      </w:r>
      <w:r w:rsidRPr="00CD570A">
        <w:rPr>
          <w:rFonts w:ascii="Times New Roman" w:hAnsi="Times New Roman" w:cs="Times New Roman"/>
        </w:rPr>
        <w:t xml:space="preserve"> </w:t>
      </w:r>
      <w:r w:rsidR="00A979C1">
        <w:rPr>
          <w:rFonts w:ascii="Times New Roman" w:hAnsi="Times New Roman" w:cs="Times New Roman"/>
          <w:color w:val="auto"/>
        </w:rPr>
        <w:t>тыс. рублей.</w:t>
      </w:r>
    </w:p>
    <w:p w:rsidR="00CD570A" w:rsidRPr="00CD570A" w:rsidRDefault="00CD570A" w:rsidP="00CD570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CD570A">
        <w:rPr>
          <w:rFonts w:ascii="Times New Roman" w:hAnsi="Times New Roman" w:cs="Times New Roman"/>
          <w:color w:val="auto"/>
        </w:rPr>
        <w:t xml:space="preserve">Большая часть этих средств имеет нецелевую направленность, а именно на решение вопросов местного значения. </w:t>
      </w:r>
    </w:p>
    <w:p w:rsidR="00CD570A" w:rsidRPr="00CD570A" w:rsidRDefault="00CD570A" w:rsidP="00CD570A">
      <w:pPr>
        <w:pStyle w:val="2"/>
        <w:ind w:right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>По состоянию на 1 ноября 202</w:t>
      </w:r>
      <w:r w:rsidR="003F71D5">
        <w:rPr>
          <w:color w:val="000000" w:themeColor="text1"/>
          <w:sz w:val="24"/>
        </w:rPr>
        <w:t>3</w:t>
      </w:r>
      <w:r w:rsidRPr="00CD570A">
        <w:rPr>
          <w:color w:val="000000" w:themeColor="text1"/>
          <w:sz w:val="24"/>
        </w:rPr>
        <w:t xml:space="preserve"> года муниципальный долг отсутствует.</w:t>
      </w:r>
    </w:p>
    <w:p w:rsidR="00CD570A" w:rsidRPr="00CD570A" w:rsidRDefault="00CD570A" w:rsidP="00CD570A">
      <w:pPr>
        <w:pStyle w:val="2"/>
        <w:ind w:right="0"/>
        <w:outlineLvl w:val="9"/>
        <w:rPr>
          <w:color w:val="000000" w:themeColor="text1"/>
          <w:sz w:val="24"/>
        </w:rPr>
      </w:pPr>
      <w:r w:rsidRPr="00CD570A">
        <w:rPr>
          <w:color w:val="000000" w:themeColor="text1"/>
          <w:sz w:val="24"/>
        </w:rPr>
        <w:t>В 202</w:t>
      </w:r>
      <w:r w:rsidR="003F71D5">
        <w:rPr>
          <w:color w:val="000000" w:themeColor="text1"/>
          <w:sz w:val="24"/>
        </w:rPr>
        <w:t>4</w:t>
      </w:r>
      <w:r w:rsidRPr="00CD570A">
        <w:rPr>
          <w:color w:val="000000" w:themeColor="text1"/>
          <w:sz w:val="24"/>
        </w:rPr>
        <w:t xml:space="preserve"> </w:t>
      </w:r>
      <w:r w:rsidR="003F71D5">
        <w:rPr>
          <w:color w:val="000000" w:themeColor="text1"/>
          <w:sz w:val="24"/>
        </w:rPr>
        <w:t>-</w:t>
      </w:r>
      <w:r w:rsidRPr="00CD570A">
        <w:rPr>
          <w:color w:val="000000" w:themeColor="text1"/>
          <w:sz w:val="24"/>
        </w:rPr>
        <w:t xml:space="preserve"> 202</w:t>
      </w:r>
      <w:r w:rsidR="003F71D5">
        <w:rPr>
          <w:color w:val="000000" w:themeColor="text1"/>
          <w:sz w:val="24"/>
        </w:rPr>
        <w:t>6</w:t>
      </w:r>
      <w:r w:rsidRPr="00CD570A">
        <w:rPr>
          <w:color w:val="000000" w:themeColor="text1"/>
          <w:sz w:val="24"/>
        </w:rPr>
        <w:t xml:space="preserve"> годах получение кредитов, предоставление муниципальных гарантий и заимствований не планируется.</w:t>
      </w:r>
    </w:p>
    <w:p w:rsidR="00CD570A" w:rsidRPr="00CD570A" w:rsidRDefault="00CD570A" w:rsidP="00CD570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</w:p>
    <w:p w:rsidR="00CD570A" w:rsidRDefault="00CD570A" w:rsidP="00CD570A">
      <w:pPr>
        <w:pStyle w:val="ibc"/>
        <w:spacing w:before="0" w:beforeAutospacing="0" w:after="0" w:afterAutospacing="0"/>
        <w:ind w:firstLine="720"/>
        <w:jc w:val="both"/>
        <w:rPr>
          <w:b w:val="0"/>
          <w:bCs w:val="0"/>
          <w:i w:val="0"/>
          <w:iCs w:val="0"/>
        </w:rPr>
      </w:pPr>
    </w:p>
    <w:p w:rsidR="003B6837" w:rsidRPr="00CD570A" w:rsidRDefault="003B6837" w:rsidP="00CD570A">
      <w:pPr>
        <w:pStyle w:val="ibc"/>
        <w:spacing w:before="0" w:beforeAutospacing="0" w:after="0" w:afterAutospacing="0"/>
        <w:ind w:firstLine="720"/>
        <w:jc w:val="both"/>
        <w:rPr>
          <w:b w:val="0"/>
          <w:bCs w:val="0"/>
          <w:i w:val="0"/>
          <w:iCs w:val="0"/>
        </w:rPr>
      </w:pPr>
    </w:p>
    <w:p w:rsidR="00CD570A" w:rsidRPr="00CD570A" w:rsidRDefault="00CD570A" w:rsidP="00CD570A">
      <w:pPr>
        <w:pStyle w:val="ibc"/>
        <w:spacing w:before="0" w:beforeAutospacing="0" w:after="0" w:afterAutospacing="0"/>
        <w:ind w:firstLine="720"/>
        <w:jc w:val="both"/>
        <w:rPr>
          <w:b w:val="0"/>
          <w:bCs w:val="0"/>
          <w:i w:val="0"/>
          <w:iCs w:val="0"/>
        </w:rPr>
      </w:pPr>
    </w:p>
    <w:p w:rsidR="00CD570A" w:rsidRPr="00CD570A" w:rsidRDefault="00CD570A" w:rsidP="00CD570A">
      <w:pPr>
        <w:pStyle w:val="ibc"/>
        <w:spacing w:before="0" w:beforeAutospacing="0" w:after="0" w:afterAutospacing="0"/>
        <w:ind w:firstLine="720"/>
        <w:jc w:val="both"/>
        <w:rPr>
          <w:b w:val="0"/>
          <w:bCs w:val="0"/>
          <w:i w:val="0"/>
          <w:iCs w:val="0"/>
        </w:rPr>
      </w:pPr>
      <w:r w:rsidRPr="00CD570A">
        <w:rPr>
          <w:b w:val="0"/>
          <w:bCs w:val="0"/>
          <w:i w:val="0"/>
          <w:iCs w:val="0"/>
        </w:rPr>
        <w:t xml:space="preserve">Руководитель </w:t>
      </w:r>
    </w:p>
    <w:p w:rsidR="00CD570A" w:rsidRPr="00CD570A" w:rsidRDefault="00CD570A" w:rsidP="00CD570A">
      <w:pPr>
        <w:pStyle w:val="ibc"/>
        <w:tabs>
          <w:tab w:val="left" w:pos="0"/>
        </w:tabs>
        <w:spacing w:before="0" w:beforeAutospacing="0" w:after="0" w:afterAutospacing="0"/>
        <w:jc w:val="both"/>
        <w:rPr>
          <w:b w:val="0"/>
          <w:bCs w:val="0"/>
          <w:i w:val="0"/>
          <w:iCs w:val="0"/>
        </w:rPr>
      </w:pPr>
      <w:r w:rsidRPr="00CD570A">
        <w:rPr>
          <w:b w:val="0"/>
          <w:bCs w:val="0"/>
          <w:i w:val="0"/>
          <w:iCs w:val="0"/>
        </w:rPr>
        <w:tab/>
        <w:t xml:space="preserve">Финансового управления </w:t>
      </w:r>
      <w:r w:rsidRPr="00CD570A">
        <w:rPr>
          <w:b w:val="0"/>
          <w:bCs w:val="0"/>
          <w:i w:val="0"/>
          <w:iCs w:val="0"/>
        </w:rPr>
        <w:tab/>
      </w:r>
      <w:r w:rsidRPr="00CD570A">
        <w:rPr>
          <w:b w:val="0"/>
          <w:bCs w:val="0"/>
          <w:i w:val="0"/>
          <w:iCs w:val="0"/>
        </w:rPr>
        <w:tab/>
      </w:r>
      <w:r w:rsidRPr="00CD570A">
        <w:rPr>
          <w:b w:val="0"/>
          <w:bCs w:val="0"/>
          <w:i w:val="0"/>
          <w:iCs w:val="0"/>
        </w:rPr>
        <w:tab/>
      </w:r>
      <w:r w:rsidRPr="00CD570A">
        <w:rPr>
          <w:b w:val="0"/>
          <w:bCs w:val="0"/>
          <w:i w:val="0"/>
          <w:iCs w:val="0"/>
        </w:rPr>
        <w:tab/>
      </w:r>
      <w:r w:rsidRPr="00CD570A">
        <w:rPr>
          <w:b w:val="0"/>
          <w:bCs w:val="0"/>
          <w:i w:val="0"/>
          <w:iCs w:val="0"/>
        </w:rPr>
        <w:tab/>
      </w:r>
      <w:r w:rsidRPr="00CD570A">
        <w:rPr>
          <w:b w:val="0"/>
          <w:bCs w:val="0"/>
          <w:i w:val="0"/>
          <w:iCs w:val="0"/>
        </w:rPr>
        <w:tab/>
        <w:t xml:space="preserve">        </w:t>
      </w:r>
      <w:r w:rsidR="00EE314A">
        <w:rPr>
          <w:b w:val="0"/>
          <w:bCs w:val="0"/>
          <w:i w:val="0"/>
          <w:iCs w:val="0"/>
        </w:rPr>
        <w:tab/>
      </w:r>
      <w:r w:rsidR="00EE314A">
        <w:rPr>
          <w:b w:val="0"/>
          <w:bCs w:val="0"/>
          <w:i w:val="0"/>
          <w:iCs w:val="0"/>
        </w:rPr>
        <w:tab/>
      </w:r>
      <w:r w:rsidRPr="00CD570A">
        <w:rPr>
          <w:b w:val="0"/>
          <w:bCs w:val="0"/>
          <w:i w:val="0"/>
          <w:iCs w:val="0"/>
        </w:rPr>
        <w:t>Р.Ф. Аюпова</w:t>
      </w:r>
    </w:p>
    <w:p w:rsidR="00CD570A" w:rsidRPr="00CD570A" w:rsidRDefault="00CD570A" w:rsidP="00CD570A">
      <w:pPr>
        <w:pStyle w:val="a6"/>
        <w:spacing w:before="0" w:beforeAutospacing="0" w:after="0" w:afterAutospacing="0"/>
        <w:ind w:firstLine="720"/>
        <w:jc w:val="both"/>
      </w:pPr>
    </w:p>
    <w:p w:rsidR="00CD570A" w:rsidRPr="00CD570A" w:rsidRDefault="00CD570A" w:rsidP="00CD5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D570A" w:rsidRPr="00CD570A" w:rsidSect="003B6837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01E"/>
    <w:multiLevelType w:val="hybridMultilevel"/>
    <w:tmpl w:val="28A21EE4"/>
    <w:lvl w:ilvl="0" w:tplc="1E9C94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0526"/>
    <w:multiLevelType w:val="hybridMultilevel"/>
    <w:tmpl w:val="3FF89166"/>
    <w:lvl w:ilvl="0" w:tplc="0419000F">
      <w:start w:val="1"/>
      <w:numFmt w:val="decimal"/>
      <w:lvlText w:val="%1.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2D34F1"/>
    <w:multiLevelType w:val="hybridMultilevel"/>
    <w:tmpl w:val="77C89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8F0068"/>
    <w:multiLevelType w:val="hybridMultilevel"/>
    <w:tmpl w:val="A530B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4545EB"/>
    <w:multiLevelType w:val="hybridMultilevel"/>
    <w:tmpl w:val="89309BB8"/>
    <w:lvl w:ilvl="0" w:tplc="3032577C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160D1D9F"/>
    <w:multiLevelType w:val="hybridMultilevel"/>
    <w:tmpl w:val="3D9ACC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352A37"/>
    <w:multiLevelType w:val="hybridMultilevel"/>
    <w:tmpl w:val="7474E99E"/>
    <w:lvl w:ilvl="0" w:tplc="DC78725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1656332"/>
    <w:multiLevelType w:val="hybridMultilevel"/>
    <w:tmpl w:val="8668E624"/>
    <w:lvl w:ilvl="0" w:tplc="DC7872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1D5924"/>
    <w:multiLevelType w:val="hybridMultilevel"/>
    <w:tmpl w:val="73D8B6F8"/>
    <w:lvl w:ilvl="0" w:tplc="340E621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243E6"/>
    <w:multiLevelType w:val="hybridMultilevel"/>
    <w:tmpl w:val="E752EB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36DA19D7"/>
    <w:multiLevelType w:val="hybridMultilevel"/>
    <w:tmpl w:val="0DE2F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690854"/>
    <w:multiLevelType w:val="hybridMultilevel"/>
    <w:tmpl w:val="4FB41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105B2"/>
    <w:multiLevelType w:val="hybridMultilevel"/>
    <w:tmpl w:val="5A54E342"/>
    <w:lvl w:ilvl="0" w:tplc="DC78725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054887"/>
    <w:multiLevelType w:val="hybridMultilevel"/>
    <w:tmpl w:val="327AEC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134958"/>
    <w:multiLevelType w:val="hybridMultilevel"/>
    <w:tmpl w:val="E684D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7477E4"/>
    <w:multiLevelType w:val="hybridMultilevel"/>
    <w:tmpl w:val="FA02B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8D4913"/>
    <w:multiLevelType w:val="hybridMultilevel"/>
    <w:tmpl w:val="7BAE3D7A"/>
    <w:lvl w:ilvl="0" w:tplc="4778580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3E7371"/>
    <w:multiLevelType w:val="hybridMultilevel"/>
    <w:tmpl w:val="5A0E3DB0"/>
    <w:lvl w:ilvl="0" w:tplc="CCAA515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E0EC4"/>
    <w:multiLevelType w:val="hybridMultilevel"/>
    <w:tmpl w:val="3AA2C1A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60F607BF"/>
    <w:multiLevelType w:val="hybridMultilevel"/>
    <w:tmpl w:val="C9C2C8AC"/>
    <w:lvl w:ilvl="0" w:tplc="DC78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9F1147"/>
    <w:multiLevelType w:val="hybridMultilevel"/>
    <w:tmpl w:val="266EB5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63A737ED"/>
    <w:multiLevelType w:val="hybridMultilevel"/>
    <w:tmpl w:val="4A3C3C9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6BC8166B"/>
    <w:multiLevelType w:val="hybridMultilevel"/>
    <w:tmpl w:val="8E7A4E08"/>
    <w:lvl w:ilvl="0" w:tplc="AB0ED76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B7706B"/>
    <w:multiLevelType w:val="hybridMultilevel"/>
    <w:tmpl w:val="10BEAB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D0F2BDF"/>
    <w:multiLevelType w:val="hybridMultilevel"/>
    <w:tmpl w:val="926E0A88"/>
    <w:lvl w:ilvl="0" w:tplc="7EF0359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6"/>
  </w:num>
  <w:num w:numId="5">
    <w:abstractNumId w:val="21"/>
  </w:num>
  <w:num w:numId="6">
    <w:abstractNumId w:val="15"/>
  </w:num>
  <w:num w:numId="7">
    <w:abstractNumId w:val="19"/>
  </w:num>
  <w:num w:numId="8">
    <w:abstractNumId w:val="12"/>
  </w:num>
  <w:num w:numId="9">
    <w:abstractNumId w:val="23"/>
  </w:num>
  <w:num w:numId="10">
    <w:abstractNumId w:val="7"/>
  </w:num>
  <w:num w:numId="11">
    <w:abstractNumId w:val="9"/>
  </w:num>
  <w:num w:numId="12">
    <w:abstractNumId w:val="2"/>
  </w:num>
  <w:num w:numId="13">
    <w:abstractNumId w:val="22"/>
  </w:num>
  <w:num w:numId="14">
    <w:abstractNumId w:val="0"/>
  </w:num>
  <w:num w:numId="15">
    <w:abstractNumId w:val="13"/>
  </w:num>
  <w:num w:numId="16">
    <w:abstractNumId w:val="3"/>
  </w:num>
  <w:num w:numId="17">
    <w:abstractNumId w:val="24"/>
  </w:num>
  <w:num w:numId="18">
    <w:abstractNumId w:val="17"/>
  </w:num>
  <w:num w:numId="19">
    <w:abstractNumId w:val="8"/>
  </w:num>
  <w:num w:numId="20">
    <w:abstractNumId w:val="10"/>
  </w:num>
  <w:num w:numId="21">
    <w:abstractNumId w:val="18"/>
  </w:num>
  <w:num w:numId="22">
    <w:abstractNumId w:val="11"/>
  </w:num>
  <w:num w:numId="23">
    <w:abstractNumId w:val="1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25"/>
    <w:rsid w:val="00000247"/>
    <w:rsid w:val="0000191F"/>
    <w:rsid w:val="00001A21"/>
    <w:rsid w:val="0000207C"/>
    <w:rsid w:val="00012576"/>
    <w:rsid w:val="000127DE"/>
    <w:rsid w:val="00025BB3"/>
    <w:rsid w:val="00032702"/>
    <w:rsid w:val="000363E3"/>
    <w:rsid w:val="00041363"/>
    <w:rsid w:val="00043858"/>
    <w:rsid w:val="00051206"/>
    <w:rsid w:val="0005174E"/>
    <w:rsid w:val="000518DA"/>
    <w:rsid w:val="00052110"/>
    <w:rsid w:val="0005214F"/>
    <w:rsid w:val="00064184"/>
    <w:rsid w:val="0007529F"/>
    <w:rsid w:val="000777E9"/>
    <w:rsid w:val="0008730F"/>
    <w:rsid w:val="00091BAF"/>
    <w:rsid w:val="00094B0D"/>
    <w:rsid w:val="000965B7"/>
    <w:rsid w:val="000A0D6A"/>
    <w:rsid w:val="000A765A"/>
    <w:rsid w:val="000B2996"/>
    <w:rsid w:val="000B5C8A"/>
    <w:rsid w:val="000B6C64"/>
    <w:rsid w:val="000C1269"/>
    <w:rsid w:val="000D09B3"/>
    <w:rsid w:val="000D0B94"/>
    <w:rsid w:val="000D4BC1"/>
    <w:rsid w:val="000E2A8C"/>
    <w:rsid w:val="000E53B8"/>
    <w:rsid w:val="000E77CC"/>
    <w:rsid w:val="000F3D5B"/>
    <w:rsid w:val="000F46C8"/>
    <w:rsid w:val="000F74EC"/>
    <w:rsid w:val="000F7FDA"/>
    <w:rsid w:val="001033D7"/>
    <w:rsid w:val="0010450A"/>
    <w:rsid w:val="00107954"/>
    <w:rsid w:val="00114EC5"/>
    <w:rsid w:val="00116F13"/>
    <w:rsid w:val="001217C4"/>
    <w:rsid w:val="00124CCB"/>
    <w:rsid w:val="00126168"/>
    <w:rsid w:val="00137B38"/>
    <w:rsid w:val="001420A8"/>
    <w:rsid w:val="00143ED8"/>
    <w:rsid w:val="001470B2"/>
    <w:rsid w:val="0014710C"/>
    <w:rsid w:val="001577B1"/>
    <w:rsid w:val="0016534F"/>
    <w:rsid w:val="00167330"/>
    <w:rsid w:val="00167443"/>
    <w:rsid w:val="00170AB5"/>
    <w:rsid w:val="0017120C"/>
    <w:rsid w:val="00175EE6"/>
    <w:rsid w:val="00176C48"/>
    <w:rsid w:val="00180D6F"/>
    <w:rsid w:val="00187F15"/>
    <w:rsid w:val="00192457"/>
    <w:rsid w:val="00196B2E"/>
    <w:rsid w:val="00196B88"/>
    <w:rsid w:val="001A2889"/>
    <w:rsid w:val="001A2B45"/>
    <w:rsid w:val="001A389E"/>
    <w:rsid w:val="001B1156"/>
    <w:rsid w:val="001C24C1"/>
    <w:rsid w:val="001C3C3B"/>
    <w:rsid w:val="001C70FE"/>
    <w:rsid w:val="001C7346"/>
    <w:rsid w:val="001D4152"/>
    <w:rsid w:val="001D550F"/>
    <w:rsid w:val="001D7340"/>
    <w:rsid w:val="001E1CC5"/>
    <w:rsid w:val="001E39FB"/>
    <w:rsid w:val="001F20A3"/>
    <w:rsid w:val="001F2A9B"/>
    <w:rsid w:val="001F2D21"/>
    <w:rsid w:val="00201237"/>
    <w:rsid w:val="00211B5F"/>
    <w:rsid w:val="002221B8"/>
    <w:rsid w:val="00234133"/>
    <w:rsid w:val="002377B8"/>
    <w:rsid w:val="00240983"/>
    <w:rsid w:val="00241F45"/>
    <w:rsid w:val="00247120"/>
    <w:rsid w:val="002557CC"/>
    <w:rsid w:val="00256571"/>
    <w:rsid w:val="002570EC"/>
    <w:rsid w:val="00262945"/>
    <w:rsid w:val="002637A0"/>
    <w:rsid w:val="0026469B"/>
    <w:rsid w:val="002732A5"/>
    <w:rsid w:val="00276229"/>
    <w:rsid w:val="002763A3"/>
    <w:rsid w:val="0028020E"/>
    <w:rsid w:val="00286FC3"/>
    <w:rsid w:val="002955BE"/>
    <w:rsid w:val="002970ED"/>
    <w:rsid w:val="002A04C5"/>
    <w:rsid w:val="002A756D"/>
    <w:rsid w:val="002B2611"/>
    <w:rsid w:val="002C142B"/>
    <w:rsid w:val="002D1281"/>
    <w:rsid w:val="002D2105"/>
    <w:rsid w:val="002D64CE"/>
    <w:rsid w:val="002D6ED5"/>
    <w:rsid w:val="002E077B"/>
    <w:rsid w:val="002E536D"/>
    <w:rsid w:val="002E60C3"/>
    <w:rsid w:val="002E7C60"/>
    <w:rsid w:val="002F4941"/>
    <w:rsid w:val="002F68C0"/>
    <w:rsid w:val="002F6C68"/>
    <w:rsid w:val="00301112"/>
    <w:rsid w:val="00317050"/>
    <w:rsid w:val="00317E19"/>
    <w:rsid w:val="0032021C"/>
    <w:rsid w:val="00320D99"/>
    <w:rsid w:val="00327566"/>
    <w:rsid w:val="003344DE"/>
    <w:rsid w:val="003352B7"/>
    <w:rsid w:val="00342247"/>
    <w:rsid w:val="00347FB9"/>
    <w:rsid w:val="00351D10"/>
    <w:rsid w:val="003759E3"/>
    <w:rsid w:val="00376B38"/>
    <w:rsid w:val="003906AC"/>
    <w:rsid w:val="00391C7D"/>
    <w:rsid w:val="003973ED"/>
    <w:rsid w:val="00397C33"/>
    <w:rsid w:val="003A0D93"/>
    <w:rsid w:val="003A4A66"/>
    <w:rsid w:val="003B6837"/>
    <w:rsid w:val="003C4C67"/>
    <w:rsid w:val="003C5EFE"/>
    <w:rsid w:val="003D6C5B"/>
    <w:rsid w:val="003E06B7"/>
    <w:rsid w:val="003E36A1"/>
    <w:rsid w:val="003F08EE"/>
    <w:rsid w:val="003F2393"/>
    <w:rsid w:val="003F71D5"/>
    <w:rsid w:val="004009CB"/>
    <w:rsid w:val="004040D9"/>
    <w:rsid w:val="00410F03"/>
    <w:rsid w:val="00414077"/>
    <w:rsid w:val="00416954"/>
    <w:rsid w:val="0042252E"/>
    <w:rsid w:val="00422C28"/>
    <w:rsid w:val="00427F23"/>
    <w:rsid w:val="00431E20"/>
    <w:rsid w:val="00440143"/>
    <w:rsid w:val="0044270C"/>
    <w:rsid w:val="00443F49"/>
    <w:rsid w:val="004454FA"/>
    <w:rsid w:val="00445DAC"/>
    <w:rsid w:val="00451977"/>
    <w:rsid w:val="00452506"/>
    <w:rsid w:val="004606BD"/>
    <w:rsid w:val="00472E03"/>
    <w:rsid w:val="00473AF0"/>
    <w:rsid w:val="0047477D"/>
    <w:rsid w:val="00476376"/>
    <w:rsid w:val="00496105"/>
    <w:rsid w:val="004A122E"/>
    <w:rsid w:val="004A2618"/>
    <w:rsid w:val="004A5A57"/>
    <w:rsid w:val="004B13E7"/>
    <w:rsid w:val="004C7EA3"/>
    <w:rsid w:val="004D3E36"/>
    <w:rsid w:val="004D6F94"/>
    <w:rsid w:val="004F2D29"/>
    <w:rsid w:val="004F2E5E"/>
    <w:rsid w:val="004F2FDC"/>
    <w:rsid w:val="004F56DC"/>
    <w:rsid w:val="00500474"/>
    <w:rsid w:val="00511BE2"/>
    <w:rsid w:val="00517B30"/>
    <w:rsid w:val="005204FB"/>
    <w:rsid w:val="005344F2"/>
    <w:rsid w:val="0053636A"/>
    <w:rsid w:val="005474A1"/>
    <w:rsid w:val="005500AA"/>
    <w:rsid w:val="005500D3"/>
    <w:rsid w:val="005514EA"/>
    <w:rsid w:val="005524E9"/>
    <w:rsid w:val="00554EE0"/>
    <w:rsid w:val="00555053"/>
    <w:rsid w:val="00557E0C"/>
    <w:rsid w:val="00567B07"/>
    <w:rsid w:val="00574170"/>
    <w:rsid w:val="00574B67"/>
    <w:rsid w:val="0057550F"/>
    <w:rsid w:val="00582F97"/>
    <w:rsid w:val="00584105"/>
    <w:rsid w:val="00584A5A"/>
    <w:rsid w:val="00585ECD"/>
    <w:rsid w:val="00590558"/>
    <w:rsid w:val="00592E8A"/>
    <w:rsid w:val="00595336"/>
    <w:rsid w:val="0059580E"/>
    <w:rsid w:val="0059658E"/>
    <w:rsid w:val="005A1E7C"/>
    <w:rsid w:val="005A263B"/>
    <w:rsid w:val="005A67CE"/>
    <w:rsid w:val="005B4171"/>
    <w:rsid w:val="005B4FF8"/>
    <w:rsid w:val="005C1716"/>
    <w:rsid w:val="005C1B0E"/>
    <w:rsid w:val="005C44E7"/>
    <w:rsid w:val="005D4B98"/>
    <w:rsid w:val="005E1977"/>
    <w:rsid w:val="005E278D"/>
    <w:rsid w:val="005E5AAB"/>
    <w:rsid w:val="005E6C28"/>
    <w:rsid w:val="005F04C3"/>
    <w:rsid w:val="006005A1"/>
    <w:rsid w:val="00602815"/>
    <w:rsid w:val="00603889"/>
    <w:rsid w:val="0060493B"/>
    <w:rsid w:val="00605B91"/>
    <w:rsid w:val="0061109D"/>
    <w:rsid w:val="006245E7"/>
    <w:rsid w:val="0063350D"/>
    <w:rsid w:val="00634064"/>
    <w:rsid w:val="00644B09"/>
    <w:rsid w:val="0064523C"/>
    <w:rsid w:val="00646148"/>
    <w:rsid w:val="006502FA"/>
    <w:rsid w:val="0065099B"/>
    <w:rsid w:val="006676B3"/>
    <w:rsid w:val="0067323B"/>
    <w:rsid w:val="0067666E"/>
    <w:rsid w:val="00677B0F"/>
    <w:rsid w:val="006857DA"/>
    <w:rsid w:val="00686888"/>
    <w:rsid w:val="00692C50"/>
    <w:rsid w:val="006A4A64"/>
    <w:rsid w:val="006A5CFE"/>
    <w:rsid w:val="006A7C8F"/>
    <w:rsid w:val="006B1C06"/>
    <w:rsid w:val="006B2EEC"/>
    <w:rsid w:val="006B5EE8"/>
    <w:rsid w:val="006B72D7"/>
    <w:rsid w:val="006C13F1"/>
    <w:rsid w:val="006C5439"/>
    <w:rsid w:val="006D30FB"/>
    <w:rsid w:val="006D61F8"/>
    <w:rsid w:val="006E0477"/>
    <w:rsid w:val="006E135D"/>
    <w:rsid w:val="006E2FF9"/>
    <w:rsid w:val="006F0861"/>
    <w:rsid w:val="006F0C86"/>
    <w:rsid w:val="006F266E"/>
    <w:rsid w:val="00702A19"/>
    <w:rsid w:val="00702EB3"/>
    <w:rsid w:val="00707BD4"/>
    <w:rsid w:val="00707FB0"/>
    <w:rsid w:val="00712D2D"/>
    <w:rsid w:val="007210D4"/>
    <w:rsid w:val="00726F62"/>
    <w:rsid w:val="00734354"/>
    <w:rsid w:val="00741632"/>
    <w:rsid w:val="00746BAF"/>
    <w:rsid w:val="00752354"/>
    <w:rsid w:val="0075291B"/>
    <w:rsid w:val="00757C7D"/>
    <w:rsid w:val="007601D9"/>
    <w:rsid w:val="0076350D"/>
    <w:rsid w:val="007638F5"/>
    <w:rsid w:val="0077393C"/>
    <w:rsid w:val="0077443C"/>
    <w:rsid w:val="00774FF6"/>
    <w:rsid w:val="00775D9A"/>
    <w:rsid w:val="00784A2D"/>
    <w:rsid w:val="00786588"/>
    <w:rsid w:val="00791719"/>
    <w:rsid w:val="00793BB0"/>
    <w:rsid w:val="007959C5"/>
    <w:rsid w:val="007A19CA"/>
    <w:rsid w:val="007A1AAA"/>
    <w:rsid w:val="007A24A5"/>
    <w:rsid w:val="007A302B"/>
    <w:rsid w:val="007A69F4"/>
    <w:rsid w:val="007B3B42"/>
    <w:rsid w:val="007D05EC"/>
    <w:rsid w:val="007D1DB8"/>
    <w:rsid w:val="007D42A9"/>
    <w:rsid w:val="007D5FFB"/>
    <w:rsid w:val="007D7F4D"/>
    <w:rsid w:val="007E1FE4"/>
    <w:rsid w:val="007E322A"/>
    <w:rsid w:val="007F34C8"/>
    <w:rsid w:val="007F4631"/>
    <w:rsid w:val="007F4DFE"/>
    <w:rsid w:val="008012F5"/>
    <w:rsid w:val="00801987"/>
    <w:rsid w:val="008044C7"/>
    <w:rsid w:val="0081042B"/>
    <w:rsid w:val="008123AF"/>
    <w:rsid w:val="00813ED1"/>
    <w:rsid w:val="00815FF8"/>
    <w:rsid w:val="00825CEA"/>
    <w:rsid w:val="00847572"/>
    <w:rsid w:val="0086134F"/>
    <w:rsid w:val="008672A1"/>
    <w:rsid w:val="008729A6"/>
    <w:rsid w:val="00873F38"/>
    <w:rsid w:val="00875610"/>
    <w:rsid w:val="00881E58"/>
    <w:rsid w:val="008834A9"/>
    <w:rsid w:val="00883750"/>
    <w:rsid w:val="008A0050"/>
    <w:rsid w:val="008A005F"/>
    <w:rsid w:val="008A146B"/>
    <w:rsid w:val="008A3BE5"/>
    <w:rsid w:val="008A7CFC"/>
    <w:rsid w:val="008B3E83"/>
    <w:rsid w:val="008C3564"/>
    <w:rsid w:val="008C3F07"/>
    <w:rsid w:val="008C5D7C"/>
    <w:rsid w:val="008D042E"/>
    <w:rsid w:val="008E2391"/>
    <w:rsid w:val="008E4EBA"/>
    <w:rsid w:val="008E7846"/>
    <w:rsid w:val="008F2272"/>
    <w:rsid w:val="008F2327"/>
    <w:rsid w:val="008F7F6F"/>
    <w:rsid w:val="00904773"/>
    <w:rsid w:val="009048CF"/>
    <w:rsid w:val="00905F76"/>
    <w:rsid w:val="00911D29"/>
    <w:rsid w:val="0091352E"/>
    <w:rsid w:val="009166E1"/>
    <w:rsid w:val="009217EC"/>
    <w:rsid w:val="00932841"/>
    <w:rsid w:val="00936685"/>
    <w:rsid w:val="00941742"/>
    <w:rsid w:val="0094516C"/>
    <w:rsid w:val="00952716"/>
    <w:rsid w:val="009534AC"/>
    <w:rsid w:val="00957B92"/>
    <w:rsid w:val="00962E37"/>
    <w:rsid w:val="00965CAA"/>
    <w:rsid w:val="00965E1B"/>
    <w:rsid w:val="00972372"/>
    <w:rsid w:val="00973C2B"/>
    <w:rsid w:val="00975CB0"/>
    <w:rsid w:val="00982F76"/>
    <w:rsid w:val="00984DC1"/>
    <w:rsid w:val="00987480"/>
    <w:rsid w:val="00987E5D"/>
    <w:rsid w:val="00987F99"/>
    <w:rsid w:val="00990105"/>
    <w:rsid w:val="009904CE"/>
    <w:rsid w:val="00991232"/>
    <w:rsid w:val="00995CFB"/>
    <w:rsid w:val="00996114"/>
    <w:rsid w:val="009A24FF"/>
    <w:rsid w:val="009A301F"/>
    <w:rsid w:val="009B1E7C"/>
    <w:rsid w:val="009B675B"/>
    <w:rsid w:val="009C12EE"/>
    <w:rsid w:val="009C1CA6"/>
    <w:rsid w:val="009C26D7"/>
    <w:rsid w:val="009C51C1"/>
    <w:rsid w:val="009C6B63"/>
    <w:rsid w:val="009C73A5"/>
    <w:rsid w:val="009D3027"/>
    <w:rsid w:val="009E2189"/>
    <w:rsid w:val="009F0FAA"/>
    <w:rsid w:val="00A06B30"/>
    <w:rsid w:val="00A12ABC"/>
    <w:rsid w:val="00A134E4"/>
    <w:rsid w:val="00A13A79"/>
    <w:rsid w:val="00A148F5"/>
    <w:rsid w:val="00A15071"/>
    <w:rsid w:val="00A20374"/>
    <w:rsid w:val="00A2323A"/>
    <w:rsid w:val="00A23A1F"/>
    <w:rsid w:val="00A25856"/>
    <w:rsid w:val="00A3014B"/>
    <w:rsid w:val="00A32AC9"/>
    <w:rsid w:val="00A41893"/>
    <w:rsid w:val="00A41BF7"/>
    <w:rsid w:val="00A42FD9"/>
    <w:rsid w:val="00A43FBA"/>
    <w:rsid w:val="00A45B1A"/>
    <w:rsid w:val="00A5084C"/>
    <w:rsid w:val="00A57295"/>
    <w:rsid w:val="00A64D64"/>
    <w:rsid w:val="00A70970"/>
    <w:rsid w:val="00A7273C"/>
    <w:rsid w:val="00A73BF3"/>
    <w:rsid w:val="00A74BAE"/>
    <w:rsid w:val="00A754CC"/>
    <w:rsid w:val="00A80999"/>
    <w:rsid w:val="00A85013"/>
    <w:rsid w:val="00A904A4"/>
    <w:rsid w:val="00A93639"/>
    <w:rsid w:val="00A96DF5"/>
    <w:rsid w:val="00A97878"/>
    <w:rsid w:val="00A979C1"/>
    <w:rsid w:val="00AA0311"/>
    <w:rsid w:val="00AA3EDB"/>
    <w:rsid w:val="00AB339D"/>
    <w:rsid w:val="00AB519A"/>
    <w:rsid w:val="00AC4164"/>
    <w:rsid w:val="00AC6A16"/>
    <w:rsid w:val="00AD69E8"/>
    <w:rsid w:val="00AE6511"/>
    <w:rsid w:val="00AE715C"/>
    <w:rsid w:val="00B02428"/>
    <w:rsid w:val="00B053D8"/>
    <w:rsid w:val="00B0711D"/>
    <w:rsid w:val="00B11965"/>
    <w:rsid w:val="00B24E4B"/>
    <w:rsid w:val="00B33C98"/>
    <w:rsid w:val="00B41EEC"/>
    <w:rsid w:val="00B4248C"/>
    <w:rsid w:val="00B44643"/>
    <w:rsid w:val="00B45E38"/>
    <w:rsid w:val="00B467F1"/>
    <w:rsid w:val="00B504A0"/>
    <w:rsid w:val="00B50FC7"/>
    <w:rsid w:val="00B545F8"/>
    <w:rsid w:val="00B557B8"/>
    <w:rsid w:val="00B603B4"/>
    <w:rsid w:val="00B6304E"/>
    <w:rsid w:val="00B653EC"/>
    <w:rsid w:val="00B66417"/>
    <w:rsid w:val="00B66E0F"/>
    <w:rsid w:val="00B714C8"/>
    <w:rsid w:val="00B93CED"/>
    <w:rsid w:val="00B96153"/>
    <w:rsid w:val="00B97B79"/>
    <w:rsid w:val="00BA1AC3"/>
    <w:rsid w:val="00BA2BA1"/>
    <w:rsid w:val="00BA40FA"/>
    <w:rsid w:val="00BA509B"/>
    <w:rsid w:val="00BB1DD0"/>
    <w:rsid w:val="00BB5152"/>
    <w:rsid w:val="00BC407A"/>
    <w:rsid w:val="00BE2BB2"/>
    <w:rsid w:val="00BE31AE"/>
    <w:rsid w:val="00BE54A2"/>
    <w:rsid w:val="00BE7EB7"/>
    <w:rsid w:val="00BF4C0B"/>
    <w:rsid w:val="00C054FD"/>
    <w:rsid w:val="00C064D0"/>
    <w:rsid w:val="00C103AB"/>
    <w:rsid w:val="00C10717"/>
    <w:rsid w:val="00C10B05"/>
    <w:rsid w:val="00C13750"/>
    <w:rsid w:val="00C15FD2"/>
    <w:rsid w:val="00C17880"/>
    <w:rsid w:val="00C26EC5"/>
    <w:rsid w:val="00C372AE"/>
    <w:rsid w:val="00C40190"/>
    <w:rsid w:val="00C50F36"/>
    <w:rsid w:val="00C51B86"/>
    <w:rsid w:val="00C53CC1"/>
    <w:rsid w:val="00C53F5A"/>
    <w:rsid w:val="00C577DE"/>
    <w:rsid w:val="00C60E11"/>
    <w:rsid w:val="00C63EFF"/>
    <w:rsid w:val="00C64C9F"/>
    <w:rsid w:val="00C7482E"/>
    <w:rsid w:val="00C76900"/>
    <w:rsid w:val="00C856FA"/>
    <w:rsid w:val="00C9180E"/>
    <w:rsid w:val="00C91E3F"/>
    <w:rsid w:val="00C957D7"/>
    <w:rsid w:val="00CB2AA4"/>
    <w:rsid w:val="00CC57D3"/>
    <w:rsid w:val="00CC5933"/>
    <w:rsid w:val="00CD2C17"/>
    <w:rsid w:val="00CD3F97"/>
    <w:rsid w:val="00CD570A"/>
    <w:rsid w:val="00CE0EB7"/>
    <w:rsid w:val="00CF1DE6"/>
    <w:rsid w:val="00CF5827"/>
    <w:rsid w:val="00D16FC6"/>
    <w:rsid w:val="00D17E6D"/>
    <w:rsid w:val="00D2048D"/>
    <w:rsid w:val="00D215BD"/>
    <w:rsid w:val="00D277EA"/>
    <w:rsid w:val="00D324F9"/>
    <w:rsid w:val="00D402E2"/>
    <w:rsid w:val="00D4047C"/>
    <w:rsid w:val="00D47ADD"/>
    <w:rsid w:val="00D50AE8"/>
    <w:rsid w:val="00D53EAB"/>
    <w:rsid w:val="00D5517B"/>
    <w:rsid w:val="00D557D3"/>
    <w:rsid w:val="00D57F73"/>
    <w:rsid w:val="00D6543B"/>
    <w:rsid w:val="00D66F46"/>
    <w:rsid w:val="00D72BC6"/>
    <w:rsid w:val="00D74358"/>
    <w:rsid w:val="00D744A1"/>
    <w:rsid w:val="00D74855"/>
    <w:rsid w:val="00D769FD"/>
    <w:rsid w:val="00D92038"/>
    <w:rsid w:val="00D925C1"/>
    <w:rsid w:val="00D92E7C"/>
    <w:rsid w:val="00D931CB"/>
    <w:rsid w:val="00DB1F19"/>
    <w:rsid w:val="00DC24C3"/>
    <w:rsid w:val="00DC735B"/>
    <w:rsid w:val="00DD1AA7"/>
    <w:rsid w:val="00DD5C15"/>
    <w:rsid w:val="00DE0978"/>
    <w:rsid w:val="00DE0F05"/>
    <w:rsid w:val="00DE1B6E"/>
    <w:rsid w:val="00DE1FEF"/>
    <w:rsid w:val="00DF1635"/>
    <w:rsid w:val="00DF4911"/>
    <w:rsid w:val="00E06025"/>
    <w:rsid w:val="00E10E8B"/>
    <w:rsid w:val="00E12525"/>
    <w:rsid w:val="00E13F8E"/>
    <w:rsid w:val="00E16829"/>
    <w:rsid w:val="00E17D5D"/>
    <w:rsid w:val="00E17FC2"/>
    <w:rsid w:val="00E22113"/>
    <w:rsid w:val="00E23C70"/>
    <w:rsid w:val="00E24AC8"/>
    <w:rsid w:val="00E31639"/>
    <w:rsid w:val="00E31939"/>
    <w:rsid w:val="00E337A6"/>
    <w:rsid w:val="00E35D1F"/>
    <w:rsid w:val="00E37E64"/>
    <w:rsid w:val="00E53439"/>
    <w:rsid w:val="00E54147"/>
    <w:rsid w:val="00E63123"/>
    <w:rsid w:val="00E66039"/>
    <w:rsid w:val="00E6626A"/>
    <w:rsid w:val="00E67D9B"/>
    <w:rsid w:val="00E71A77"/>
    <w:rsid w:val="00E72050"/>
    <w:rsid w:val="00E75B27"/>
    <w:rsid w:val="00E76F7C"/>
    <w:rsid w:val="00E919ED"/>
    <w:rsid w:val="00EA4320"/>
    <w:rsid w:val="00EA58EE"/>
    <w:rsid w:val="00EB02A1"/>
    <w:rsid w:val="00EB04B3"/>
    <w:rsid w:val="00EB43D1"/>
    <w:rsid w:val="00EB65BD"/>
    <w:rsid w:val="00EC00B6"/>
    <w:rsid w:val="00EC0359"/>
    <w:rsid w:val="00EC0F81"/>
    <w:rsid w:val="00EC3D05"/>
    <w:rsid w:val="00EC4B35"/>
    <w:rsid w:val="00EE2F9F"/>
    <w:rsid w:val="00EE2FB2"/>
    <w:rsid w:val="00EE314A"/>
    <w:rsid w:val="00EE72A9"/>
    <w:rsid w:val="00EF19D8"/>
    <w:rsid w:val="00EF262E"/>
    <w:rsid w:val="00EF267E"/>
    <w:rsid w:val="00EF4B85"/>
    <w:rsid w:val="00EF6942"/>
    <w:rsid w:val="00F00572"/>
    <w:rsid w:val="00F02043"/>
    <w:rsid w:val="00F05E0A"/>
    <w:rsid w:val="00F11126"/>
    <w:rsid w:val="00F16044"/>
    <w:rsid w:val="00F210E0"/>
    <w:rsid w:val="00F218AA"/>
    <w:rsid w:val="00F33F59"/>
    <w:rsid w:val="00F352F7"/>
    <w:rsid w:val="00F363E3"/>
    <w:rsid w:val="00F3640C"/>
    <w:rsid w:val="00F36FD0"/>
    <w:rsid w:val="00F41A9C"/>
    <w:rsid w:val="00F471C4"/>
    <w:rsid w:val="00F51234"/>
    <w:rsid w:val="00F625C9"/>
    <w:rsid w:val="00F715B4"/>
    <w:rsid w:val="00F716D0"/>
    <w:rsid w:val="00F76B56"/>
    <w:rsid w:val="00F772EF"/>
    <w:rsid w:val="00F81AAF"/>
    <w:rsid w:val="00F83778"/>
    <w:rsid w:val="00FA1B81"/>
    <w:rsid w:val="00FA2482"/>
    <w:rsid w:val="00FB28E6"/>
    <w:rsid w:val="00FB2D21"/>
    <w:rsid w:val="00FB72C2"/>
    <w:rsid w:val="00FB76F9"/>
    <w:rsid w:val="00FD060D"/>
    <w:rsid w:val="00FD4BD0"/>
    <w:rsid w:val="00FD4DBF"/>
    <w:rsid w:val="00FD6DA7"/>
    <w:rsid w:val="00FD70A3"/>
    <w:rsid w:val="00FF0D6C"/>
    <w:rsid w:val="00FF0F17"/>
    <w:rsid w:val="00FF4297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B72D7"/>
    <w:pPr>
      <w:spacing w:after="0" w:line="240" w:lineRule="auto"/>
      <w:ind w:right="176" w:firstLine="709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B7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3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F23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E5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AC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bc">
    <w:name w:val="ibc"/>
    <w:basedOn w:val="a"/>
    <w:rsid w:val="00CD57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0">
    <w:name w:val="10"/>
    <w:basedOn w:val="a"/>
    <w:uiPriority w:val="99"/>
    <w:rsid w:val="00CD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D57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B72D7"/>
    <w:pPr>
      <w:spacing w:after="0" w:line="240" w:lineRule="auto"/>
      <w:ind w:right="176" w:firstLine="709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B7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30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F23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E5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AC4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bc">
    <w:name w:val="ibc"/>
    <w:basedOn w:val="a"/>
    <w:rsid w:val="00CD570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10">
    <w:name w:val="10"/>
    <w:basedOn w:val="a"/>
    <w:uiPriority w:val="99"/>
    <w:rsid w:val="00CD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D570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0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676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AEAB3-5C67-4ACC-9DE2-3156B265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2172</Words>
  <Characters>12386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АйткуловаЕВ</dc:creator>
  <cp:lastModifiedBy>Иргалеева_ЮЗ</cp:lastModifiedBy>
  <cp:revision>26</cp:revision>
  <cp:lastPrinted>2022-11-16T05:21:00Z</cp:lastPrinted>
  <dcterms:created xsi:type="dcterms:W3CDTF">2022-12-05T10:12:00Z</dcterms:created>
  <dcterms:modified xsi:type="dcterms:W3CDTF">2023-11-16T07:01:00Z</dcterms:modified>
</cp:coreProperties>
</file>